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CD1" w:rsidRPr="002A43BC" w:rsidRDefault="002C0425" w:rsidP="0034598D">
      <w:pPr>
        <w:pBdr>
          <w:top w:val="nil"/>
          <w:left w:val="nil"/>
          <w:bottom w:val="nil"/>
          <w:right w:val="nil"/>
          <w:between w:val="nil"/>
          <w:bar w:val="nil"/>
        </w:pBdr>
        <w:spacing w:after="0" w:line="360" w:lineRule="auto"/>
        <w:jc w:val="both"/>
        <w:rPr>
          <w:rFonts w:ascii="Palatino Linotype" w:eastAsia="Arial Unicode MS" w:hAnsi="Palatino Linotype" w:cs="Arial"/>
          <w:b/>
          <w:color w:val="000000" w:themeColor="text1"/>
          <w:sz w:val="24"/>
          <w:szCs w:val="24"/>
          <w:bdr w:val="nil"/>
        </w:rPr>
      </w:pPr>
      <w:r w:rsidRPr="002A43BC">
        <w:rPr>
          <w:rFonts w:ascii="Palatino Linotype" w:eastAsia="Arial Unicode MS" w:hAnsi="Palatino Linotype" w:cs="Arial"/>
          <w:b/>
          <w:color w:val="000000" w:themeColor="text1"/>
          <w:sz w:val="24"/>
          <w:szCs w:val="24"/>
          <w:bdr w:val="nil"/>
        </w:rPr>
        <w:t xml:space="preserve">VOTO DISIDENTE DEL COMISIONADO JOSÉ GUADALUPE LUNA HERNÁNDEZ EN EL RECURSO DE REVISIÓN </w:t>
      </w:r>
      <w:r w:rsidR="0039495E">
        <w:rPr>
          <w:rFonts w:ascii="Palatino Linotype" w:eastAsia="Arial Unicode MS" w:hAnsi="Palatino Linotype" w:cs="Arial"/>
          <w:b/>
          <w:bCs/>
          <w:sz w:val="24"/>
          <w:szCs w:val="24"/>
          <w:bdr w:val="nil"/>
          <w:lang w:eastAsia="es-MX"/>
        </w:rPr>
        <w:t>00</w:t>
      </w:r>
      <w:r w:rsidR="00E0147C">
        <w:rPr>
          <w:rFonts w:ascii="Palatino Linotype" w:eastAsia="Arial Unicode MS" w:hAnsi="Palatino Linotype" w:cs="Arial"/>
          <w:b/>
          <w:bCs/>
          <w:sz w:val="24"/>
          <w:szCs w:val="24"/>
          <w:bdr w:val="nil"/>
          <w:lang w:eastAsia="es-MX"/>
        </w:rPr>
        <w:t>2577</w:t>
      </w:r>
      <w:r w:rsidRPr="002A43BC">
        <w:rPr>
          <w:rFonts w:ascii="Palatino Linotype" w:eastAsia="Arial Unicode MS" w:hAnsi="Palatino Linotype" w:cs="Arial"/>
          <w:b/>
          <w:bCs/>
          <w:sz w:val="24"/>
          <w:szCs w:val="24"/>
          <w:bdr w:val="nil"/>
          <w:lang w:eastAsia="es-MX"/>
        </w:rPr>
        <w:t>/INFOEM/IP/RR/201</w:t>
      </w:r>
      <w:r w:rsidR="0090379C">
        <w:rPr>
          <w:rFonts w:ascii="Palatino Linotype" w:eastAsia="Arial Unicode MS" w:hAnsi="Palatino Linotype" w:cs="Arial"/>
          <w:b/>
          <w:bCs/>
          <w:sz w:val="24"/>
          <w:szCs w:val="24"/>
          <w:bdr w:val="nil"/>
          <w:lang w:eastAsia="es-MX"/>
        </w:rPr>
        <w:t>9</w:t>
      </w:r>
      <w:r w:rsidRPr="002A43BC">
        <w:rPr>
          <w:rFonts w:ascii="Palatino Linotype" w:eastAsia="Arial Unicode MS" w:hAnsi="Palatino Linotype" w:cs="Arial"/>
          <w:b/>
          <w:color w:val="000000" w:themeColor="text1"/>
          <w:sz w:val="24"/>
          <w:szCs w:val="24"/>
          <w:bdr w:val="nil"/>
        </w:rPr>
        <w:t>.</w:t>
      </w:r>
    </w:p>
    <w:p w:rsidR="00311B32" w:rsidRPr="002A43BC" w:rsidRDefault="00311B32" w:rsidP="0034598D">
      <w:pPr>
        <w:pBdr>
          <w:top w:val="nil"/>
          <w:left w:val="nil"/>
          <w:bottom w:val="nil"/>
          <w:right w:val="nil"/>
          <w:between w:val="nil"/>
          <w:bar w:val="nil"/>
        </w:pBdr>
        <w:spacing w:after="0" w:line="360" w:lineRule="auto"/>
        <w:jc w:val="both"/>
        <w:rPr>
          <w:rFonts w:ascii="Palatino Linotype" w:eastAsia="Arial Unicode MS" w:hAnsi="Palatino Linotype" w:cs="Arial"/>
          <w:b/>
          <w:color w:val="000000" w:themeColor="text1"/>
          <w:sz w:val="24"/>
          <w:szCs w:val="24"/>
          <w:bdr w:val="nil"/>
        </w:rPr>
      </w:pPr>
    </w:p>
    <w:p w:rsidR="002C0425" w:rsidRPr="002A43BC" w:rsidRDefault="0023170E" w:rsidP="0034598D">
      <w:pPr>
        <w:pBdr>
          <w:top w:val="nil"/>
          <w:left w:val="nil"/>
          <w:bottom w:val="nil"/>
          <w:right w:val="nil"/>
          <w:between w:val="nil"/>
          <w:bar w:val="nil"/>
        </w:pBdr>
        <w:spacing w:after="0" w:line="360" w:lineRule="auto"/>
        <w:jc w:val="center"/>
        <w:rPr>
          <w:rFonts w:ascii="Palatino Linotype" w:eastAsia="Arial Unicode MS" w:hAnsi="Palatino Linotype" w:cs="Arial"/>
          <w:b/>
          <w:color w:val="000000" w:themeColor="text1"/>
          <w:sz w:val="24"/>
          <w:szCs w:val="24"/>
          <w:bdr w:val="nil"/>
        </w:rPr>
      </w:pPr>
      <w:r w:rsidRPr="002A43BC">
        <w:rPr>
          <w:rFonts w:ascii="Palatino Linotype" w:eastAsia="Arial Unicode MS" w:hAnsi="Palatino Linotype" w:cs="Arial"/>
          <w:b/>
          <w:color w:val="000000" w:themeColor="text1"/>
          <w:sz w:val="24"/>
          <w:szCs w:val="24"/>
          <w:bdr w:val="nil"/>
        </w:rPr>
        <w:t>LÍNEAS ARGUMENTATIVAS:</w:t>
      </w:r>
    </w:p>
    <w:p w:rsidR="002A30A3" w:rsidRPr="002A43BC" w:rsidRDefault="002A30A3" w:rsidP="0034598D">
      <w:pPr>
        <w:pBdr>
          <w:top w:val="nil"/>
          <w:left w:val="nil"/>
          <w:bottom w:val="nil"/>
          <w:right w:val="nil"/>
          <w:between w:val="nil"/>
          <w:bar w:val="nil"/>
        </w:pBdr>
        <w:spacing w:after="0" w:line="360" w:lineRule="auto"/>
        <w:jc w:val="both"/>
        <w:rPr>
          <w:rFonts w:ascii="Palatino Linotype" w:eastAsia="Arial Unicode MS" w:hAnsi="Palatino Linotype" w:cs="Arial"/>
          <w:b/>
          <w:color w:val="000000" w:themeColor="text1"/>
          <w:sz w:val="24"/>
          <w:szCs w:val="24"/>
          <w:bdr w:val="nil"/>
        </w:rPr>
      </w:pPr>
    </w:p>
    <w:p w:rsidR="0023170E" w:rsidRPr="00A57CD1" w:rsidRDefault="0023170E" w:rsidP="0034598D">
      <w:pPr>
        <w:tabs>
          <w:tab w:val="left" w:pos="0"/>
        </w:tabs>
        <w:spacing w:after="0" w:line="360" w:lineRule="auto"/>
        <w:jc w:val="both"/>
        <w:rPr>
          <w:rFonts w:ascii="Palatino Linotype" w:eastAsia="Arial Unicode MS" w:hAnsi="Palatino Linotype" w:cs="Arial"/>
          <w:sz w:val="24"/>
          <w:szCs w:val="24"/>
          <w:lang w:val="es-ES_tradnl" w:eastAsia="es-ES"/>
        </w:rPr>
      </w:pPr>
      <w:r w:rsidRPr="00A57CD1">
        <w:rPr>
          <w:rFonts w:ascii="Palatino Linotype" w:eastAsia="Arial Unicode MS" w:hAnsi="Palatino Linotype" w:cs="Arial"/>
          <w:b/>
          <w:sz w:val="24"/>
          <w:szCs w:val="24"/>
          <w:lang w:val="es-ES_tradnl" w:eastAsia="es-ES"/>
        </w:rPr>
        <w:t>DEBERES DE LAS AUTORIDADES</w:t>
      </w:r>
      <w:r w:rsidRPr="00A57CD1">
        <w:rPr>
          <w:rFonts w:ascii="Palatino Linotype" w:eastAsia="Arial Unicode MS" w:hAnsi="Palatino Linotype" w:cs="Arial"/>
          <w:sz w:val="24"/>
          <w:szCs w:val="24"/>
          <w:lang w:val="es-ES_tradnl" w:eastAsia="es-ES"/>
        </w:rPr>
        <w:t>. El derecho de acceso a la información pública es un derecho humano constitucionalmente reconocido. Todas las autoridades en el ámbito de sus competencias tienen la obligación de respetarlo, protegerlo y garantizarlo.</w:t>
      </w:r>
    </w:p>
    <w:p w:rsidR="002A43BC" w:rsidRPr="002A43BC" w:rsidRDefault="002A43BC" w:rsidP="0034598D">
      <w:pPr>
        <w:pBdr>
          <w:top w:val="nil"/>
          <w:left w:val="nil"/>
          <w:bottom w:val="nil"/>
          <w:right w:val="nil"/>
          <w:between w:val="nil"/>
          <w:bar w:val="nil"/>
        </w:pBdr>
        <w:spacing w:after="0" w:line="360" w:lineRule="auto"/>
        <w:jc w:val="both"/>
        <w:rPr>
          <w:rFonts w:ascii="Palatino Linotype" w:eastAsia="Calibri" w:hAnsi="Palatino Linotype" w:cs="Times New Roman"/>
          <w:sz w:val="24"/>
          <w:szCs w:val="24"/>
          <w:bdr w:val="nil"/>
        </w:rPr>
      </w:pPr>
    </w:p>
    <w:sdt>
      <w:sdtPr>
        <w:rPr>
          <w:rFonts w:ascii="Palatino Linotype" w:hAnsi="Palatino Linotype"/>
          <w:b/>
          <w:sz w:val="24"/>
          <w:szCs w:val="24"/>
          <w:bdr w:val="nil"/>
          <w:lang w:val="es-ES"/>
        </w:rPr>
        <w:id w:val="267358099"/>
        <w:docPartObj>
          <w:docPartGallery w:val="Table of Contents"/>
          <w:docPartUnique/>
        </w:docPartObj>
      </w:sdtPr>
      <w:sdtEndPr>
        <w:rPr>
          <w:rFonts w:asciiTheme="minorHAnsi" w:hAnsiTheme="minorHAnsi"/>
          <w:b w:val="0"/>
          <w:sz w:val="22"/>
          <w:szCs w:val="22"/>
        </w:rPr>
      </w:sdtEndPr>
      <w:sdtContent>
        <w:p w:rsidR="002C0425" w:rsidRPr="00207CD1" w:rsidRDefault="002C0425" w:rsidP="00207CD1">
          <w:pPr>
            <w:keepNext/>
            <w:keepLines/>
            <w:spacing w:after="0" w:line="480" w:lineRule="auto"/>
            <w:jc w:val="center"/>
            <w:rPr>
              <w:rFonts w:ascii="Palatino Linotype" w:eastAsiaTheme="majorEastAsia" w:hAnsi="Palatino Linotype" w:cstheme="majorBidi"/>
              <w:b/>
              <w:sz w:val="24"/>
              <w:szCs w:val="24"/>
              <w:lang w:eastAsia="es-MX"/>
            </w:rPr>
          </w:pPr>
          <w:r w:rsidRPr="00207CD1">
            <w:rPr>
              <w:rFonts w:ascii="Palatino Linotype" w:eastAsiaTheme="majorEastAsia" w:hAnsi="Palatino Linotype" w:cstheme="majorBidi"/>
              <w:b/>
              <w:sz w:val="24"/>
              <w:szCs w:val="24"/>
              <w:lang w:val="es-ES" w:eastAsia="es-MX"/>
            </w:rPr>
            <w:t>Índice</w:t>
          </w:r>
        </w:p>
        <w:p w:rsidR="00436351" w:rsidRDefault="002C0425">
          <w:pPr>
            <w:pStyle w:val="TDC1"/>
            <w:rPr>
              <w:rFonts w:eastAsiaTheme="minorEastAsia"/>
              <w:noProof/>
              <w:lang w:eastAsia="es-MX"/>
            </w:rPr>
          </w:pPr>
          <w:r w:rsidRPr="00207CD1">
            <w:rPr>
              <w:rFonts w:eastAsia="Arial Unicode MS" w:cs="Times New Roman"/>
              <w:noProof/>
              <w:color w:val="000000" w:themeColor="text1"/>
              <w:sz w:val="24"/>
              <w:szCs w:val="24"/>
              <w:bdr w:val="nil"/>
            </w:rPr>
            <w:fldChar w:fldCharType="begin"/>
          </w:r>
          <w:r w:rsidRPr="00207CD1">
            <w:rPr>
              <w:rFonts w:eastAsia="Arial Unicode MS" w:cs="Times New Roman"/>
              <w:color w:val="000000" w:themeColor="text1"/>
              <w:sz w:val="24"/>
              <w:szCs w:val="24"/>
              <w:bdr w:val="nil"/>
            </w:rPr>
            <w:instrText xml:space="preserve"> TOC \o "1-3" \h \z \u </w:instrText>
          </w:r>
          <w:r w:rsidRPr="00207CD1">
            <w:rPr>
              <w:rFonts w:eastAsia="Arial Unicode MS" w:cs="Times New Roman"/>
              <w:noProof/>
              <w:color w:val="000000" w:themeColor="text1"/>
              <w:sz w:val="24"/>
              <w:szCs w:val="24"/>
              <w:bdr w:val="nil"/>
            </w:rPr>
            <w:fldChar w:fldCharType="separate"/>
          </w:r>
          <w:hyperlink w:anchor="_Toc12901422" w:history="1">
            <w:r w:rsidR="00436351" w:rsidRPr="00F76B9B">
              <w:rPr>
                <w:rStyle w:val="Hipervnculo"/>
                <w:rFonts w:ascii="Palatino Linotype" w:eastAsiaTheme="majorEastAsia" w:hAnsi="Palatino Linotype" w:cstheme="majorBidi"/>
                <w:b/>
                <w:noProof/>
                <w:bdr w:val="nil"/>
              </w:rPr>
              <w:t>I. Consideraciones Generales.</w:t>
            </w:r>
            <w:r w:rsidR="00436351">
              <w:rPr>
                <w:noProof/>
                <w:webHidden/>
              </w:rPr>
              <w:tab/>
            </w:r>
            <w:r w:rsidR="00436351">
              <w:rPr>
                <w:noProof/>
                <w:webHidden/>
              </w:rPr>
              <w:fldChar w:fldCharType="begin"/>
            </w:r>
            <w:r w:rsidR="00436351">
              <w:rPr>
                <w:noProof/>
                <w:webHidden/>
              </w:rPr>
              <w:instrText xml:space="preserve"> PAGEREF _Toc12901422 \h </w:instrText>
            </w:r>
            <w:r w:rsidR="00436351">
              <w:rPr>
                <w:noProof/>
                <w:webHidden/>
              </w:rPr>
            </w:r>
            <w:r w:rsidR="00436351">
              <w:rPr>
                <w:noProof/>
                <w:webHidden/>
              </w:rPr>
              <w:fldChar w:fldCharType="separate"/>
            </w:r>
            <w:r w:rsidR="00436351">
              <w:rPr>
                <w:noProof/>
                <w:webHidden/>
              </w:rPr>
              <w:t>1</w:t>
            </w:r>
            <w:r w:rsidR="00436351">
              <w:rPr>
                <w:noProof/>
                <w:webHidden/>
              </w:rPr>
              <w:fldChar w:fldCharType="end"/>
            </w:r>
          </w:hyperlink>
        </w:p>
        <w:p w:rsidR="00436351" w:rsidRDefault="00E30841">
          <w:pPr>
            <w:pStyle w:val="TDC1"/>
            <w:rPr>
              <w:rFonts w:eastAsiaTheme="minorEastAsia"/>
              <w:noProof/>
              <w:lang w:eastAsia="es-MX"/>
            </w:rPr>
          </w:pPr>
          <w:hyperlink w:anchor="_Toc12901423" w:history="1">
            <w:r w:rsidR="00436351" w:rsidRPr="00F76B9B">
              <w:rPr>
                <w:rStyle w:val="Hipervnculo"/>
                <w:rFonts w:ascii="Palatino Linotype" w:eastAsiaTheme="majorEastAsia" w:hAnsi="Palatino Linotype" w:cstheme="majorBidi"/>
                <w:b/>
                <w:noProof/>
                <w:bdr w:val="nil"/>
              </w:rPr>
              <w:t>II. De los requerimientos planteados en el recurso de revisión.</w:t>
            </w:r>
            <w:r w:rsidR="00436351">
              <w:rPr>
                <w:noProof/>
                <w:webHidden/>
              </w:rPr>
              <w:tab/>
            </w:r>
            <w:r w:rsidR="00436351">
              <w:rPr>
                <w:noProof/>
                <w:webHidden/>
              </w:rPr>
              <w:fldChar w:fldCharType="begin"/>
            </w:r>
            <w:r w:rsidR="00436351">
              <w:rPr>
                <w:noProof/>
                <w:webHidden/>
              </w:rPr>
              <w:instrText xml:space="preserve"> PAGEREF _Toc12901423 \h </w:instrText>
            </w:r>
            <w:r w:rsidR="00436351">
              <w:rPr>
                <w:noProof/>
                <w:webHidden/>
              </w:rPr>
            </w:r>
            <w:r w:rsidR="00436351">
              <w:rPr>
                <w:noProof/>
                <w:webHidden/>
              </w:rPr>
              <w:fldChar w:fldCharType="separate"/>
            </w:r>
            <w:r w:rsidR="00436351">
              <w:rPr>
                <w:noProof/>
                <w:webHidden/>
              </w:rPr>
              <w:t>2</w:t>
            </w:r>
            <w:r w:rsidR="00436351">
              <w:rPr>
                <w:noProof/>
                <w:webHidden/>
              </w:rPr>
              <w:fldChar w:fldCharType="end"/>
            </w:r>
          </w:hyperlink>
        </w:p>
        <w:p w:rsidR="00436351" w:rsidRDefault="002C0425" w:rsidP="00207CD1">
          <w:pPr>
            <w:pBdr>
              <w:top w:val="nil"/>
              <w:left w:val="nil"/>
              <w:bottom w:val="nil"/>
              <w:right w:val="nil"/>
              <w:between w:val="nil"/>
              <w:bar w:val="nil"/>
            </w:pBdr>
            <w:spacing w:after="0" w:line="480" w:lineRule="auto"/>
            <w:rPr>
              <w:rFonts w:ascii="Palatino Linotype" w:eastAsia="Arial Unicode MS" w:hAnsi="Palatino Linotype" w:cs="Times New Roman"/>
              <w:b/>
              <w:bCs/>
              <w:color w:val="000000" w:themeColor="text1"/>
              <w:sz w:val="24"/>
              <w:szCs w:val="24"/>
              <w:bdr w:val="nil"/>
              <w:lang w:val="es-ES"/>
            </w:rPr>
          </w:pPr>
          <w:r w:rsidRPr="00207CD1">
            <w:rPr>
              <w:rFonts w:ascii="Palatino Linotype" w:eastAsia="Arial Unicode MS" w:hAnsi="Palatino Linotype" w:cs="Times New Roman"/>
              <w:b/>
              <w:bCs/>
              <w:color w:val="000000" w:themeColor="text1"/>
              <w:sz w:val="24"/>
              <w:szCs w:val="24"/>
              <w:bdr w:val="nil"/>
              <w:lang w:val="es-ES"/>
            </w:rPr>
            <w:fldChar w:fldCharType="end"/>
          </w:r>
        </w:p>
        <w:p w:rsidR="000150BA" w:rsidRPr="00207CD1" w:rsidRDefault="00E30841" w:rsidP="00207CD1">
          <w:pPr>
            <w:pBdr>
              <w:top w:val="nil"/>
              <w:left w:val="nil"/>
              <w:bottom w:val="nil"/>
              <w:right w:val="nil"/>
              <w:between w:val="nil"/>
              <w:bar w:val="nil"/>
            </w:pBdr>
            <w:spacing w:after="0" w:line="480" w:lineRule="auto"/>
            <w:rPr>
              <w:rFonts w:ascii="Palatino Linotype" w:eastAsia="Arial Unicode MS" w:hAnsi="Palatino Linotype" w:cs="Times New Roman"/>
              <w:b/>
              <w:color w:val="000000" w:themeColor="text1"/>
              <w:sz w:val="24"/>
              <w:szCs w:val="24"/>
              <w:bdr w:val="nil"/>
            </w:rPr>
          </w:pPr>
        </w:p>
      </w:sdtContent>
    </w:sdt>
    <w:p w:rsidR="002C0425" w:rsidRPr="002A43BC" w:rsidRDefault="00A00825" w:rsidP="0034598D">
      <w:pPr>
        <w:keepNext/>
        <w:keepLines/>
        <w:pBdr>
          <w:top w:val="nil"/>
          <w:left w:val="nil"/>
          <w:bottom w:val="nil"/>
          <w:right w:val="nil"/>
          <w:between w:val="nil"/>
          <w:bar w:val="nil"/>
        </w:pBdr>
        <w:spacing w:after="0" w:line="360" w:lineRule="auto"/>
        <w:outlineLvl w:val="0"/>
        <w:rPr>
          <w:rFonts w:ascii="Palatino Linotype" w:eastAsiaTheme="majorEastAsia" w:hAnsi="Palatino Linotype" w:cstheme="majorBidi"/>
          <w:b/>
          <w:sz w:val="24"/>
          <w:szCs w:val="24"/>
          <w:bdr w:val="nil"/>
        </w:rPr>
      </w:pPr>
      <w:bookmarkStart w:id="0" w:name="_Toc12901422"/>
      <w:r>
        <w:rPr>
          <w:rFonts w:ascii="Palatino Linotype" w:eastAsiaTheme="majorEastAsia" w:hAnsi="Palatino Linotype" w:cstheme="majorBidi"/>
          <w:b/>
          <w:sz w:val="24"/>
          <w:szCs w:val="24"/>
          <w:bdr w:val="nil"/>
        </w:rPr>
        <w:t xml:space="preserve">I. </w:t>
      </w:r>
      <w:r w:rsidR="002C0425" w:rsidRPr="002A43BC">
        <w:rPr>
          <w:rFonts w:ascii="Palatino Linotype" w:eastAsiaTheme="majorEastAsia" w:hAnsi="Palatino Linotype" w:cstheme="majorBidi"/>
          <w:b/>
          <w:sz w:val="24"/>
          <w:szCs w:val="24"/>
          <w:bdr w:val="nil"/>
        </w:rPr>
        <w:t>Consideraciones Generales</w:t>
      </w:r>
      <w:r w:rsidR="00311B32" w:rsidRPr="002A43BC">
        <w:rPr>
          <w:rFonts w:ascii="Palatino Linotype" w:eastAsiaTheme="majorEastAsia" w:hAnsi="Palatino Linotype" w:cstheme="majorBidi"/>
          <w:b/>
          <w:sz w:val="24"/>
          <w:szCs w:val="24"/>
          <w:bdr w:val="nil"/>
        </w:rPr>
        <w:t>.</w:t>
      </w:r>
      <w:bookmarkEnd w:id="0"/>
    </w:p>
    <w:p w:rsidR="00147149" w:rsidRPr="002A43BC" w:rsidRDefault="00147149" w:rsidP="0034598D">
      <w:pPr>
        <w:pBdr>
          <w:top w:val="nil"/>
          <w:left w:val="nil"/>
          <w:bottom w:val="nil"/>
          <w:right w:val="nil"/>
          <w:between w:val="nil"/>
          <w:bar w:val="nil"/>
        </w:pBdr>
        <w:spacing w:after="0" w:line="360" w:lineRule="auto"/>
        <w:contextualSpacing/>
        <w:jc w:val="both"/>
        <w:rPr>
          <w:rFonts w:ascii="Palatino Linotype" w:hAnsi="Palatino Linotype" w:cs="Arial"/>
          <w:color w:val="000000" w:themeColor="text1"/>
          <w:sz w:val="24"/>
          <w:szCs w:val="24"/>
          <w:bdr w:val="nil"/>
        </w:rPr>
      </w:pPr>
    </w:p>
    <w:p w:rsidR="002C0425" w:rsidRPr="0090379C" w:rsidRDefault="002C0425" w:rsidP="0034598D">
      <w:pPr>
        <w:numPr>
          <w:ilvl w:val="0"/>
          <w:numId w:val="1"/>
        </w:numPr>
        <w:pBdr>
          <w:top w:val="nil"/>
          <w:left w:val="nil"/>
          <w:bottom w:val="nil"/>
          <w:right w:val="nil"/>
          <w:between w:val="nil"/>
          <w:bar w:val="nil"/>
        </w:pBdr>
        <w:spacing w:after="0" w:line="360" w:lineRule="auto"/>
        <w:ind w:left="0" w:firstLine="0"/>
        <w:contextualSpacing/>
        <w:jc w:val="both"/>
        <w:rPr>
          <w:rFonts w:ascii="Palatino Linotype" w:hAnsi="Palatino Linotype" w:cs="Arial"/>
          <w:color w:val="000000" w:themeColor="text1"/>
          <w:sz w:val="24"/>
          <w:szCs w:val="24"/>
          <w:bdr w:val="nil"/>
        </w:rPr>
      </w:pPr>
      <w:r w:rsidRPr="002A43BC">
        <w:rPr>
          <w:rFonts w:ascii="Palatino Linotype" w:eastAsia="Times New Roman" w:hAnsi="Palatino Linotype" w:cs="Arial"/>
          <w:color w:val="000000" w:themeColor="text1"/>
          <w:sz w:val="24"/>
          <w:szCs w:val="24"/>
          <w:bdr w:val="nil"/>
          <w:lang w:val="es-ES_tradnl"/>
        </w:rPr>
        <w:t xml:space="preserve">He concurrido con mi voto disidente de la presente resolución emitida </w:t>
      </w:r>
      <w:r w:rsidRPr="002A43BC">
        <w:rPr>
          <w:rFonts w:ascii="Palatino Linotype" w:eastAsia="Arial Unicode MS" w:hAnsi="Palatino Linotype" w:cs="Arial"/>
          <w:color w:val="000000" w:themeColor="text1"/>
          <w:sz w:val="24"/>
          <w:szCs w:val="24"/>
          <w:bdr w:val="nil"/>
        </w:rPr>
        <w:t xml:space="preserve">por el Pleno del Instituto de Transparencia, Acceso a la Información Pública y Protección de Datos Personales del Estado de México y Municipios, en su </w:t>
      </w:r>
      <w:r w:rsidR="00EE29A1">
        <w:rPr>
          <w:rFonts w:ascii="Palatino Linotype" w:eastAsia="Arial Unicode MS" w:hAnsi="Palatino Linotype" w:cs="Arial"/>
          <w:color w:val="000000" w:themeColor="text1"/>
          <w:sz w:val="24"/>
          <w:szCs w:val="24"/>
          <w:bdr w:val="nil"/>
        </w:rPr>
        <w:t xml:space="preserve">Vigésima </w:t>
      </w:r>
      <w:r w:rsidR="00E0147C">
        <w:rPr>
          <w:rFonts w:ascii="Palatino Linotype" w:eastAsia="Arial Unicode MS" w:hAnsi="Palatino Linotype" w:cs="Arial"/>
          <w:color w:val="000000" w:themeColor="text1"/>
          <w:sz w:val="24"/>
          <w:szCs w:val="24"/>
          <w:bdr w:val="nil"/>
        </w:rPr>
        <w:t xml:space="preserve">Cuarta </w:t>
      </w:r>
      <w:r w:rsidRPr="002A43BC">
        <w:rPr>
          <w:rFonts w:ascii="Palatino Linotype" w:eastAsia="Arial Unicode MS" w:hAnsi="Palatino Linotype" w:cs="Arial"/>
          <w:color w:val="000000" w:themeColor="text1"/>
          <w:sz w:val="24"/>
          <w:szCs w:val="24"/>
          <w:bdr w:val="nil"/>
        </w:rPr>
        <w:t xml:space="preserve">Sesión Ordinaria de fecha </w:t>
      </w:r>
      <w:r w:rsidR="00E0147C">
        <w:rPr>
          <w:rFonts w:ascii="Palatino Linotype" w:eastAsia="Arial Unicode MS" w:hAnsi="Palatino Linotype" w:cs="Arial"/>
          <w:color w:val="000000" w:themeColor="text1"/>
          <w:sz w:val="24"/>
          <w:szCs w:val="24"/>
          <w:bdr w:val="nil"/>
        </w:rPr>
        <w:t>veintiséis</w:t>
      </w:r>
      <w:r w:rsidR="00036132">
        <w:rPr>
          <w:rFonts w:ascii="Palatino Linotype" w:eastAsia="Arial Unicode MS" w:hAnsi="Palatino Linotype" w:cs="Arial"/>
          <w:color w:val="000000" w:themeColor="text1"/>
          <w:sz w:val="24"/>
          <w:szCs w:val="24"/>
          <w:bdr w:val="nil"/>
        </w:rPr>
        <w:t xml:space="preserve"> </w:t>
      </w:r>
      <w:r w:rsidRPr="002A43BC">
        <w:rPr>
          <w:rFonts w:ascii="Palatino Linotype" w:eastAsia="Times New Roman" w:hAnsi="Palatino Linotype" w:cs="Arial"/>
          <w:color w:val="000000"/>
          <w:sz w:val="24"/>
          <w:szCs w:val="24"/>
          <w:bdr w:val="nil"/>
          <w:lang w:eastAsia="es-MX"/>
        </w:rPr>
        <w:t>(</w:t>
      </w:r>
      <w:r w:rsidR="00E0147C">
        <w:rPr>
          <w:rFonts w:ascii="Palatino Linotype" w:eastAsia="Times New Roman" w:hAnsi="Palatino Linotype" w:cs="Arial"/>
          <w:color w:val="000000"/>
          <w:sz w:val="24"/>
          <w:szCs w:val="24"/>
          <w:bdr w:val="nil"/>
          <w:lang w:eastAsia="es-MX"/>
        </w:rPr>
        <w:t>26</w:t>
      </w:r>
      <w:r w:rsidRPr="002A43BC">
        <w:rPr>
          <w:rFonts w:ascii="Palatino Linotype" w:eastAsia="Times New Roman" w:hAnsi="Palatino Linotype" w:cs="Arial"/>
          <w:color w:val="000000"/>
          <w:sz w:val="24"/>
          <w:szCs w:val="24"/>
          <w:bdr w:val="nil"/>
          <w:lang w:eastAsia="es-MX"/>
        </w:rPr>
        <w:t xml:space="preserve">) de </w:t>
      </w:r>
      <w:r w:rsidR="00EE29A1">
        <w:rPr>
          <w:rFonts w:ascii="Palatino Linotype" w:eastAsia="Times New Roman" w:hAnsi="Palatino Linotype" w:cs="Arial"/>
          <w:color w:val="000000"/>
          <w:sz w:val="24"/>
          <w:szCs w:val="24"/>
          <w:bdr w:val="nil"/>
          <w:lang w:eastAsia="es-MX"/>
        </w:rPr>
        <w:t>junio</w:t>
      </w:r>
      <w:r w:rsidR="0090379C">
        <w:rPr>
          <w:rFonts w:ascii="Palatino Linotype" w:eastAsia="Times New Roman" w:hAnsi="Palatino Linotype" w:cs="Arial"/>
          <w:color w:val="000000"/>
          <w:sz w:val="24"/>
          <w:szCs w:val="24"/>
          <w:bdr w:val="nil"/>
          <w:lang w:eastAsia="es-MX"/>
        </w:rPr>
        <w:t xml:space="preserve"> de dos mil diecinueve</w:t>
      </w:r>
      <w:r w:rsidRPr="002A43BC">
        <w:rPr>
          <w:rFonts w:ascii="Palatino Linotype" w:eastAsia="Arial Unicode MS" w:hAnsi="Palatino Linotype" w:cs="Arial"/>
          <w:color w:val="000000" w:themeColor="text1"/>
          <w:sz w:val="24"/>
          <w:szCs w:val="24"/>
          <w:bdr w:val="nil"/>
        </w:rPr>
        <w:t xml:space="preserve">, en el recurso de revisión promovido por </w:t>
      </w:r>
      <w:r w:rsidR="008E7F3F" w:rsidRPr="008E7F3F">
        <w:rPr>
          <w:rFonts w:ascii="Palatino Linotype" w:eastAsia="Times New Roman" w:hAnsi="Palatino Linotype" w:cs="Times New Roman"/>
          <w:b/>
          <w:sz w:val="24"/>
          <w:szCs w:val="24"/>
          <w:highlight w:val="black"/>
          <w:lang w:eastAsia="es-ES"/>
        </w:rPr>
        <w:t>-------------------------------</w:t>
      </w:r>
      <w:r w:rsidR="00895986" w:rsidRPr="002A43BC">
        <w:rPr>
          <w:rFonts w:ascii="Palatino Linotype" w:eastAsia="Times New Roman" w:hAnsi="Palatino Linotype" w:cs="Arial"/>
          <w:b/>
          <w:sz w:val="24"/>
          <w:szCs w:val="24"/>
          <w:lang w:val="es-ES" w:eastAsia="es-ES"/>
        </w:rPr>
        <w:t xml:space="preserve"> </w:t>
      </w:r>
      <w:r w:rsidRPr="002A43BC">
        <w:rPr>
          <w:rFonts w:ascii="Palatino Linotype" w:eastAsia="Arial Unicode MS" w:hAnsi="Palatino Linotype" w:cs="Times New Roman"/>
          <w:sz w:val="24"/>
          <w:szCs w:val="24"/>
          <w:bdr w:val="nil"/>
        </w:rPr>
        <w:t>en contra de</w:t>
      </w:r>
      <w:r w:rsidR="000A0410">
        <w:rPr>
          <w:rFonts w:ascii="Palatino Linotype" w:eastAsia="Arial Unicode MS" w:hAnsi="Palatino Linotype" w:cs="Times New Roman"/>
          <w:sz w:val="24"/>
          <w:szCs w:val="24"/>
          <w:bdr w:val="nil"/>
        </w:rPr>
        <w:t xml:space="preserve"> </w:t>
      </w:r>
      <w:r w:rsidR="00036132">
        <w:rPr>
          <w:rFonts w:ascii="Palatino Linotype" w:eastAsia="Arial Unicode MS" w:hAnsi="Palatino Linotype" w:cs="Times New Roman"/>
          <w:sz w:val="24"/>
          <w:szCs w:val="24"/>
          <w:bdr w:val="nil"/>
        </w:rPr>
        <w:t>l</w:t>
      </w:r>
      <w:r w:rsidR="000A0410">
        <w:rPr>
          <w:rFonts w:ascii="Palatino Linotype" w:eastAsia="Arial Unicode MS" w:hAnsi="Palatino Linotype" w:cs="Times New Roman"/>
          <w:sz w:val="24"/>
          <w:szCs w:val="24"/>
          <w:bdr w:val="nil"/>
        </w:rPr>
        <w:t>a</w:t>
      </w:r>
      <w:r w:rsidR="00036132">
        <w:rPr>
          <w:rFonts w:ascii="Palatino Linotype" w:eastAsia="Arial Unicode MS" w:hAnsi="Palatino Linotype" w:cs="Times New Roman"/>
          <w:sz w:val="24"/>
          <w:szCs w:val="24"/>
          <w:bdr w:val="nil"/>
        </w:rPr>
        <w:t xml:space="preserve"> </w:t>
      </w:r>
      <w:r w:rsidR="000A0410">
        <w:rPr>
          <w:rFonts w:ascii="Palatino Linotype" w:eastAsia="Arial Unicode MS" w:hAnsi="Palatino Linotype" w:cs="Times New Roman"/>
          <w:b/>
          <w:sz w:val="24"/>
          <w:szCs w:val="24"/>
          <w:bdr w:val="nil"/>
        </w:rPr>
        <w:t xml:space="preserve">Fiscalía de </w:t>
      </w:r>
      <w:r w:rsidR="000A0410">
        <w:rPr>
          <w:rFonts w:ascii="Palatino Linotype" w:eastAsia="Arial Unicode MS" w:hAnsi="Palatino Linotype" w:cs="Times New Roman"/>
          <w:b/>
          <w:sz w:val="24"/>
          <w:szCs w:val="24"/>
          <w:bdr w:val="nil"/>
        </w:rPr>
        <w:lastRenderedPageBreak/>
        <w:t xml:space="preserve">Justicia del Estado de México </w:t>
      </w:r>
      <w:r w:rsidRPr="002A43BC">
        <w:rPr>
          <w:rFonts w:ascii="Palatino Linotype" w:eastAsia="Arial Unicode MS" w:hAnsi="Palatino Linotype" w:cs="Arial"/>
          <w:color w:val="000000" w:themeColor="text1"/>
          <w:sz w:val="24"/>
          <w:szCs w:val="24"/>
          <w:bdr w:val="nil"/>
        </w:rPr>
        <w:t xml:space="preserve">procedimiento al que se le asignó el número de expediente </w:t>
      </w:r>
      <w:r w:rsidR="00EE29A1">
        <w:rPr>
          <w:rFonts w:ascii="Palatino Linotype" w:eastAsia="Arial Unicode MS" w:hAnsi="Palatino Linotype" w:cs="Times New Roman"/>
          <w:b/>
          <w:sz w:val="24"/>
          <w:szCs w:val="24"/>
          <w:bdr w:val="nil"/>
        </w:rPr>
        <w:t>0</w:t>
      </w:r>
      <w:r w:rsidR="000A0410">
        <w:rPr>
          <w:rFonts w:ascii="Palatino Linotype" w:eastAsia="Arial Unicode MS" w:hAnsi="Palatino Linotype" w:cs="Times New Roman"/>
          <w:b/>
          <w:sz w:val="24"/>
          <w:szCs w:val="24"/>
          <w:bdr w:val="nil"/>
        </w:rPr>
        <w:t>2577/</w:t>
      </w:r>
      <w:r w:rsidR="0090379C">
        <w:rPr>
          <w:rFonts w:ascii="Palatino Linotype" w:eastAsia="Arial Unicode MS" w:hAnsi="Palatino Linotype" w:cs="Times New Roman"/>
          <w:b/>
          <w:sz w:val="24"/>
          <w:szCs w:val="24"/>
          <w:bdr w:val="nil"/>
        </w:rPr>
        <w:t>INFOEM/IP/RR/201</w:t>
      </w:r>
      <w:r w:rsidR="0090379C" w:rsidRPr="0090379C">
        <w:rPr>
          <w:rFonts w:ascii="Palatino Linotype" w:eastAsia="Arial Unicode MS" w:hAnsi="Palatino Linotype" w:cs="Times New Roman"/>
          <w:b/>
          <w:sz w:val="24"/>
          <w:szCs w:val="24"/>
          <w:bdr w:val="nil"/>
        </w:rPr>
        <w:t>9</w:t>
      </w:r>
      <w:r w:rsidRPr="0090379C">
        <w:rPr>
          <w:rFonts w:ascii="Palatino Linotype" w:eastAsia="Times New Roman" w:hAnsi="Palatino Linotype" w:cs="Arial"/>
          <w:b/>
          <w:bCs/>
          <w:color w:val="000000" w:themeColor="text1"/>
          <w:sz w:val="24"/>
          <w:szCs w:val="24"/>
          <w:bdr w:val="nil"/>
          <w:lang w:eastAsia="es-ES"/>
        </w:rPr>
        <w:t>.</w:t>
      </w:r>
    </w:p>
    <w:p w:rsidR="002C0425" w:rsidRPr="002A43BC" w:rsidRDefault="002C0425" w:rsidP="0034598D">
      <w:pPr>
        <w:pBdr>
          <w:top w:val="nil"/>
          <w:left w:val="nil"/>
          <w:bottom w:val="nil"/>
          <w:right w:val="nil"/>
          <w:between w:val="nil"/>
          <w:bar w:val="nil"/>
        </w:pBdr>
        <w:spacing w:after="0" w:line="360" w:lineRule="auto"/>
        <w:contextualSpacing/>
        <w:jc w:val="both"/>
        <w:rPr>
          <w:rFonts w:ascii="Palatino Linotype" w:eastAsia="Arial Unicode MS" w:hAnsi="Palatino Linotype" w:cs="Arial"/>
          <w:color w:val="000000" w:themeColor="text1"/>
          <w:sz w:val="24"/>
          <w:szCs w:val="24"/>
          <w:bdr w:val="nil"/>
        </w:rPr>
      </w:pPr>
    </w:p>
    <w:p w:rsidR="00760EFD" w:rsidRPr="000A0410" w:rsidRDefault="002C0425" w:rsidP="0034598D">
      <w:pPr>
        <w:numPr>
          <w:ilvl w:val="0"/>
          <w:numId w:val="1"/>
        </w:numPr>
        <w:pBdr>
          <w:top w:val="nil"/>
          <w:left w:val="nil"/>
          <w:bottom w:val="nil"/>
          <w:right w:val="nil"/>
          <w:between w:val="nil"/>
          <w:bar w:val="nil"/>
        </w:pBdr>
        <w:spacing w:after="0" w:line="360" w:lineRule="auto"/>
        <w:ind w:left="0" w:right="49" w:firstLine="0"/>
        <w:contextualSpacing/>
        <w:jc w:val="both"/>
        <w:rPr>
          <w:rFonts w:ascii="Palatino Linotype" w:eastAsia="Arial Unicode MS" w:hAnsi="Palatino Linotype" w:cs="Times New Roman"/>
          <w:sz w:val="24"/>
          <w:szCs w:val="24"/>
          <w:bdr w:val="nil"/>
        </w:rPr>
      </w:pPr>
      <w:r w:rsidRPr="000A0410">
        <w:rPr>
          <w:rFonts w:ascii="Palatino Linotype" w:eastAsia="Arial Unicode MS" w:hAnsi="Palatino Linotype" w:cs="Arial"/>
          <w:color w:val="000000" w:themeColor="text1"/>
          <w:sz w:val="24"/>
          <w:szCs w:val="24"/>
          <w:bdr w:val="nil"/>
        </w:rPr>
        <w:t xml:space="preserve">La resolución señala que es procedente </w:t>
      </w:r>
      <w:r w:rsidR="000A0410" w:rsidRPr="000A0410">
        <w:rPr>
          <w:rFonts w:ascii="Palatino Linotype" w:eastAsia="Times New Roman" w:hAnsi="Palatino Linotype" w:cs="Arial"/>
          <w:b/>
          <w:sz w:val="24"/>
          <w:szCs w:val="24"/>
          <w:bdr w:val="nil"/>
        </w:rPr>
        <w:t xml:space="preserve">CONFIRMAR </w:t>
      </w:r>
      <w:r w:rsidR="00036132" w:rsidRPr="000A0410">
        <w:rPr>
          <w:rFonts w:ascii="Palatino Linotype" w:hAnsi="Palatino Linotype" w:cs="Arial"/>
          <w:sz w:val="24"/>
          <w:szCs w:val="24"/>
        </w:rPr>
        <w:t>el recurso de revisión</w:t>
      </w:r>
      <w:r w:rsidR="00EE29A1" w:rsidRPr="000A0410">
        <w:rPr>
          <w:rFonts w:ascii="Palatino Linotype" w:hAnsi="Palatino Linotype" w:cs="Arial"/>
          <w:sz w:val="24"/>
          <w:szCs w:val="24"/>
        </w:rPr>
        <w:t>,</w:t>
      </w:r>
      <w:r w:rsidR="00036132" w:rsidRPr="000A0410">
        <w:rPr>
          <w:rFonts w:ascii="Palatino Linotype" w:hAnsi="Palatino Linotype" w:cs="Arial"/>
          <w:sz w:val="24"/>
          <w:szCs w:val="24"/>
        </w:rPr>
        <w:t xml:space="preserve"> </w:t>
      </w:r>
      <w:r w:rsidR="00895986" w:rsidRPr="000A0410">
        <w:rPr>
          <w:rFonts w:ascii="Palatino Linotype" w:hAnsi="Palatino Linotype" w:cs="Arial"/>
          <w:sz w:val="24"/>
          <w:szCs w:val="24"/>
        </w:rPr>
        <w:t>mi voto se deriva del hecho de que</w:t>
      </w:r>
      <w:r w:rsidR="00BA2B5D" w:rsidRPr="000A0410">
        <w:rPr>
          <w:rFonts w:ascii="Palatino Linotype" w:hAnsi="Palatino Linotype" w:cs="Arial"/>
          <w:sz w:val="24"/>
          <w:szCs w:val="24"/>
        </w:rPr>
        <w:t xml:space="preserve"> </w:t>
      </w:r>
      <w:r w:rsidR="00EE29A1" w:rsidRPr="000A0410">
        <w:rPr>
          <w:rFonts w:ascii="Palatino Linotype" w:hAnsi="Palatino Linotype" w:cs="Arial"/>
          <w:sz w:val="24"/>
          <w:szCs w:val="24"/>
        </w:rPr>
        <w:t>el ponente consider</w:t>
      </w:r>
      <w:r w:rsidR="000A0410" w:rsidRPr="000A0410">
        <w:rPr>
          <w:rFonts w:ascii="Palatino Linotype" w:hAnsi="Palatino Linotype" w:cs="Arial"/>
          <w:sz w:val="24"/>
          <w:szCs w:val="24"/>
        </w:rPr>
        <w:t>ó</w:t>
      </w:r>
      <w:r w:rsidR="00EE29A1" w:rsidRPr="000A0410">
        <w:rPr>
          <w:rFonts w:ascii="Palatino Linotype" w:hAnsi="Palatino Linotype" w:cs="Arial"/>
          <w:sz w:val="24"/>
          <w:szCs w:val="24"/>
        </w:rPr>
        <w:t xml:space="preserve"> que </w:t>
      </w:r>
      <w:r w:rsidR="000A0410">
        <w:rPr>
          <w:rFonts w:ascii="Palatino Linotype" w:hAnsi="Palatino Linotype" w:cs="Arial"/>
          <w:sz w:val="24"/>
          <w:szCs w:val="24"/>
        </w:rPr>
        <w:t xml:space="preserve">la Carpeta de Investigación se encuentra en trámite ante el Agente del Ministerio Público Investigador del Centro de Atención Ciudadana del Valle de Chalco y cuya difusión podría obstruir, limitar, obstaculizar las funciones del Ministerio Público durante la etapa de la investigación y persecución del delito. </w:t>
      </w:r>
    </w:p>
    <w:p w:rsidR="000A0410" w:rsidRPr="000A0410" w:rsidRDefault="000A0410" w:rsidP="000A0410">
      <w:pPr>
        <w:pBdr>
          <w:top w:val="nil"/>
          <w:left w:val="nil"/>
          <w:bottom w:val="nil"/>
          <w:right w:val="nil"/>
          <w:between w:val="nil"/>
          <w:bar w:val="nil"/>
        </w:pBdr>
        <w:spacing w:after="0" w:line="360" w:lineRule="auto"/>
        <w:ind w:right="49"/>
        <w:contextualSpacing/>
        <w:jc w:val="both"/>
        <w:rPr>
          <w:rFonts w:ascii="Palatino Linotype" w:eastAsia="Arial Unicode MS" w:hAnsi="Palatino Linotype" w:cs="Times New Roman"/>
          <w:sz w:val="24"/>
          <w:szCs w:val="24"/>
          <w:bdr w:val="nil"/>
        </w:rPr>
      </w:pPr>
    </w:p>
    <w:p w:rsidR="00311B32" w:rsidRPr="000A0410" w:rsidRDefault="00C2473C" w:rsidP="0034598D">
      <w:pPr>
        <w:numPr>
          <w:ilvl w:val="0"/>
          <w:numId w:val="1"/>
        </w:numPr>
        <w:pBdr>
          <w:top w:val="nil"/>
          <w:left w:val="nil"/>
          <w:bottom w:val="nil"/>
          <w:right w:val="nil"/>
          <w:between w:val="nil"/>
          <w:bar w:val="nil"/>
        </w:pBdr>
        <w:spacing w:after="0" w:line="360" w:lineRule="auto"/>
        <w:ind w:left="0" w:firstLine="0"/>
        <w:contextualSpacing/>
        <w:jc w:val="both"/>
        <w:rPr>
          <w:rFonts w:ascii="Palatino Linotype" w:eastAsia="Arial Unicode MS" w:hAnsi="Palatino Linotype" w:cs="Arial"/>
          <w:color w:val="000000" w:themeColor="text1"/>
          <w:sz w:val="24"/>
          <w:szCs w:val="24"/>
          <w:bdr w:val="nil"/>
        </w:rPr>
      </w:pPr>
      <w:r w:rsidRPr="000A0410">
        <w:rPr>
          <w:rFonts w:ascii="Palatino Linotype" w:eastAsia="Arial Unicode MS" w:hAnsi="Palatino Linotype" w:cs="Arial"/>
          <w:color w:val="000000" w:themeColor="text1"/>
          <w:sz w:val="24"/>
          <w:szCs w:val="24"/>
          <w:bdr w:val="nil"/>
        </w:rPr>
        <w:t xml:space="preserve">Mi voto disidente concurre por haberse considerado </w:t>
      </w:r>
      <w:r w:rsidR="00494A1F" w:rsidRPr="000A0410">
        <w:rPr>
          <w:rFonts w:ascii="Palatino Linotype" w:eastAsia="Arial Unicode MS" w:hAnsi="Palatino Linotype" w:cs="Arial"/>
          <w:color w:val="000000" w:themeColor="text1"/>
          <w:sz w:val="24"/>
          <w:szCs w:val="24"/>
          <w:bdr w:val="nil"/>
        </w:rPr>
        <w:t xml:space="preserve">que </w:t>
      </w:r>
      <w:r w:rsidR="000A0410">
        <w:rPr>
          <w:rFonts w:ascii="Palatino Linotype" w:eastAsia="Arial Unicode MS" w:hAnsi="Palatino Linotype" w:cs="Arial"/>
          <w:color w:val="000000" w:themeColor="text1"/>
          <w:sz w:val="24"/>
          <w:szCs w:val="24"/>
          <w:bdr w:val="nil"/>
        </w:rPr>
        <w:t xml:space="preserve">se pone en riesgo la integración de la carpeta y de la seguridad de las personas que intervienen en ella, superando el interés público, ocasionando un daño probable y específico. </w:t>
      </w:r>
    </w:p>
    <w:p w:rsidR="002C0425" w:rsidRDefault="00A00825" w:rsidP="0034598D">
      <w:pPr>
        <w:keepNext/>
        <w:keepLines/>
        <w:pBdr>
          <w:top w:val="nil"/>
          <w:left w:val="nil"/>
          <w:bottom w:val="nil"/>
          <w:right w:val="nil"/>
          <w:between w:val="nil"/>
          <w:bar w:val="nil"/>
        </w:pBdr>
        <w:spacing w:after="0" w:line="360" w:lineRule="auto"/>
        <w:ind w:left="360"/>
        <w:outlineLvl w:val="0"/>
        <w:rPr>
          <w:rFonts w:ascii="Palatino Linotype" w:eastAsiaTheme="majorEastAsia" w:hAnsi="Palatino Linotype" w:cstheme="majorBidi"/>
          <w:b/>
          <w:sz w:val="24"/>
          <w:szCs w:val="24"/>
          <w:bdr w:val="nil"/>
        </w:rPr>
      </w:pPr>
      <w:bookmarkStart w:id="1" w:name="_Toc12901423"/>
      <w:r>
        <w:rPr>
          <w:rFonts w:ascii="Palatino Linotype" w:eastAsiaTheme="majorEastAsia" w:hAnsi="Palatino Linotype" w:cstheme="majorBidi"/>
          <w:b/>
          <w:sz w:val="24"/>
          <w:szCs w:val="24"/>
          <w:bdr w:val="nil"/>
        </w:rPr>
        <w:t xml:space="preserve">II. </w:t>
      </w:r>
      <w:r w:rsidR="002C0425" w:rsidRPr="002A43BC">
        <w:rPr>
          <w:rFonts w:ascii="Palatino Linotype" w:eastAsiaTheme="majorEastAsia" w:hAnsi="Palatino Linotype" w:cstheme="majorBidi"/>
          <w:b/>
          <w:sz w:val="24"/>
          <w:szCs w:val="24"/>
          <w:bdr w:val="nil"/>
        </w:rPr>
        <w:t>De los requerimientos planteados en el recurso de revisión.</w:t>
      </w:r>
      <w:bookmarkEnd w:id="1"/>
    </w:p>
    <w:p w:rsidR="00E42F7C" w:rsidRPr="002A43BC" w:rsidRDefault="00E42F7C" w:rsidP="0034598D">
      <w:pPr>
        <w:keepNext/>
        <w:keepLines/>
        <w:pBdr>
          <w:top w:val="nil"/>
          <w:left w:val="nil"/>
          <w:bottom w:val="nil"/>
          <w:right w:val="nil"/>
          <w:between w:val="nil"/>
          <w:bar w:val="nil"/>
        </w:pBdr>
        <w:spacing w:after="0" w:line="360" w:lineRule="auto"/>
        <w:outlineLvl w:val="0"/>
        <w:rPr>
          <w:rFonts w:ascii="Palatino Linotype" w:eastAsiaTheme="majorEastAsia" w:hAnsi="Palatino Linotype" w:cstheme="majorBidi"/>
          <w:b/>
          <w:sz w:val="24"/>
          <w:szCs w:val="24"/>
          <w:bdr w:val="nil"/>
        </w:rPr>
      </w:pPr>
    </w:p>
    <w:p w:rsidR="004B46C5" w:rsidRPr="00E42F7C" w:rsidRDefault="004B46C5" w:rsidP="0034598D">
      <w:pPr>
        <w:numPr>
          <w:ilvl w:val="0"/>
          <w:numId w:val="1"/>
        </w:numPr>
        <w:pBdr>
          <w:top w:val="nil"/>
          <w:left w:val="nil"/>
          <w:bottom w:val="nil"/>
          <w:right w:val="nil"/>
          <w:between w:val="nil"/>
          <w:bar w:val="nil"/>
        </w:pBdr>
        <w:spacing w:after="0" w:line="360" w:lineRule="auto"/>
        <w:ind w:left="0" w:right="49" w:firstLine="0"/>
        <w:contextualSpacing/>
        <w:jc w:val="both"/>
        <w:rPr>
          <w:rFonts w:ascii="Palatino Linotype" w:hAnsi="Palatino Linotype" w:cs="Arial"/>
          <w:i/>
          <w:sz w:val="24"/>
          <w:szCs w:val="24"/>
          <w:lang w:eastAsia="es-MX"/>
        </w:rPr>
      </w:pPr>
      <w:r w:rsidRPr="002A43BC">
        <w:rPr>
          <w:rFonts w:ascii="Palatino Linotype" w:eastAsia="Arial Unicode MS" w:hAnsi="Palatino Linotype" w:cs="Arial"/>
          <w:color w:val="000000" w:themeColor="text1"/>
          <w:sz w:val="24"/>
          <w:szCs w:val="24"/>
          <w:bdr w:val="nil"/>
        </w:rPr>
        <w:t>M</w:t>
      </w:r>
      <w:r w:rsidR="002C0425" w:rsidRPr="002A43BC">
        <w:rPr>
          <w:rFonts w:ascii="Palatino Linotype" w:eastAsia="Arial Unicode MS" w:hAnsi="Palatino Linotype" w:cs="Arial"/>
          <w:color w:val="000000" w:themeColor="text1"/>
          <w:sz w:val="24"/>
          <w:szCs w:val="24"/>
          <w:bdr w:val="nil"/>
        </w:rPr>
        <w:t xml:space="preserve">ediante la solicitud de acceso a la información </w:t>
      </w:r>
      <w:r w:rsidRPr="002A43BC">
        <w:rPr>
          <w:rFonts w:ascii="Palatino Linotype" w:eastAsia="Arial Unicode MS" w:hAnsi="Palatino Linotype" w:cs="Arial"/>
          <w:color w:val="000000" w:themeColor="text1"/>
          <w:sz w:val="24"/>
          <w:szCs w:val="24"/>
          <w:bdr w:val="nil"/>
        </w:rPr>
        <w:t xml:space="preserve">número </w:t>
      </w:r>
      <w:r w:rsidR="00494A1F">
        <w:rPr>
          <w:rFonts w:ascii="Palatino Linotype" w:eastAsia="Arial Unicode MS" w:hAnsi="Palatino Linotype" w:cs="Arial"/>
          <w:b/>
          <w:sz w:val="24"/>
          <w:szCs w:val="24"/>
          <w:bdr w:val="nil"/>
        </w:rPr>
        <w:t>00</w:t>
      </w:r>
      <w:r w:rsidR="00432F50">
        <w:rPr>
          <w:rFonts w:ascii="Palatino Linotype" w:eastAsia="Arial Unicode MS" w:hAnsi="Palatino Linotype" w:cs="Arial"/>
          <w:b/>
          <w:sz w:val="24"/>
          <w:szCs w:val="24"/>
          <w:bdr w:val="nil"/>
        </w:rPr>
        <w:t>221</w:t>
      </w:r>
      <w:r w:rsidR="00032496" w:rsidRPr="002A43BC">
        <w:rPr>
          <w:rFonts w:ascii="Palatino Linotype" w:eastAsia="Arial Unicode MS" w:hAnsi="Palatino Linotype" w:cs="Arial"/>
          <w:b/>
          <w:sz w:val="24"/>
          <w:szCs w:val="24"/>
          <w:bdr w:val="nil"/>
        </w:rPr>
        <w:t>/</w:t>
      </w:r>
      <w:r w:rsidR="00432F50">
        <w:rPr>
          <w:rFonts w:ascii="Palatino Linotype" w:eastAsia="Arial Unicode MS" w:hAnsi="Palatino Linotype" w:cs="Arial"/>
          <w:b/>
          <w:sz w:val="24"/>
          <w:szCs w:val="24"/>
          <w:bdr w:val="nil"/>
        </w:rPr>
        <w:t>FGJ/</w:t>
      </w:r>
      <w:r w:rsidRPr="002A43BC">
        <w:rPr>
          <w:rFonts w:ascii="Palatino Linotype" w:eastAsia="Arial Unicode MS" w:hAnsi="Palatino Linotype" w:cs="Arial"/>
          <w:b/>
          <w:sz w:val="24"/>
          <w:szCs w:val="24"/>
          <w:bdr w:val="nil"/>
        </w:rPr>
        <w:t>IP/201</w:t>
      </w:r>
      <w:r w:rsidR="00EE639D">
        <w:rPr>
          <w:rFonts w:ascii="Palatino Linotype" w:eastAsia="Arial Unicode MS" w:hAnsi="Palatino Linotype" w:cs="Arial"/>
          <w:b/>
          <w:sz w:val="24"/>
          <w:szCs w:val="24"/>
          <w:bdr w:val="nil"/>
        </w:rPr>
        <w:t>9</w:t>
      </w:r>
      <w:r w:rsidRPr="002A43BC">
        <w:rPr>
          <w:rFonts w:ascii="Palatino Linotype" w:eastAsia="Times New Roman" w:hAnsi="Palatino Linotype" w:cs="Times New Roman"/>
          <w:b/>
          <w:sz w:val="24"/>
          <w:szCs w:val="24"/>
          <w:lang w:eastAsia="es-ES"/>
        </w:rPr>
        <w:t xml:space="preserve"> </w:t>
      </w:r>
      <w:r w:rsidR="00EE639D">
        <w:rPr>
          <w:rFonts w:ascii="Palatino Linotype" w:eastAsia="Times New Roman" w:hAnsi="Palatino Linotype" w:cs="Times New Roman"/>
          <w:sz w:val="24"/>
          <w:szCs w:val="24"/>
          <w:lang w:eastAsia="es-ES"/>
        </w:rPr>
        <w:t>el</w:t>
      </w:r>
      <w:r w:rsidR="00E42F7C">
        <w:rPr>
          <w:rFonts w:ascii="Palatino Linotype" w:eastAsia="Times New Roman" w:hAnsi="Palatino Linotype" w:cs="Times New Roman"/>
          <w:b/>
          <w:sz w:val="24"/>
          <w:szCs w:val="24"/>
          <w:lang w:eastAsia="es-ES"/>
        </w:rPr>
        <w:t xml:space="preserve"> particular</w:t>
      </w:r>
      <w:r w:rsidR="00032496" w:rsidRPr="002A43BC">
        <w:rPr>
          <w:rFonts w:ascii="Palatino Linotype" w:eastAsia="Arial Unicode MS" w:hAnsi="Palatino Linotype" w:cs="Arial"/>
          <w:b/>
          <w:sz w:val="24"/>
          <w:szCs w:val="24"/>
          <w:bdr w:val="nil"/>
        </w:rPr>
        <w:t xml:space="preserve"> </w:t>
      </w:r>
      <w:r w:rsidR="002C0425" w:rsidRPr="002A43BC">
        <w:rPr>
          <w:rFonts w:ascii="Palatino Linotype" w:eastAsia="Arial Unicode MS" w:hAnsi="Palatino Linotype" w:cs="Arial"/>
          <w:color w:val="000000" w:themeColor="text1"/>
          <w:sz w:val="24"/>
          <w:szCs w:val="24"/>
          <w:bdr w:val="nil"/>
        </w:rPr>
        <w:t>requirió</w:t>
      </w:r>
      <w:r w:rsidR="002C0425" w:rsidRPr="002A43BC">
        <w:rPr>
          <w:rFonts w:ascii="Palatino Linotype" w:eastAsia="Arial Unicode MS" w:hAnsi="Palatino Linotype" w:cs="Arial"/>
          <w:sz w:val="24"/>
          <w:szCs w:val="24"/>
          <w:bdr w:val="nil"/>
        </w:rPr>
        <w:t xml:space="preserve"> </w:t>
      </w:r>
      <w:r w:rsidR="00032496" w:rsidRPr="002A43BC">
        <w:rPr>
          <w:rFonts w:ascii="Palatino Linotype" w:eastAsia="Arial Unicode MS" w:hAnsi="Palatino Linotype" w:cs="Arial"/>
          <w:sz w:val="24"/>
          <w:szCs w:val="24"/>
          <w:bdr w:val="nil"/>
        </w:rPr>
        <w:t xml:space="preserve">al </w:t>
      </w:r>
      <w:r w:rsidR="002C0425" w:rsidRPr="002A43BC">
        <w:rPr>
          <w:rFonts w:ascii="Palatino Linotype" w:eastAsia="Arial Unicode MS" w:hAnsi="Palatino Linotype" w:cs="Arial"/>
          <w:b/>
          <w:sz w:val="24"/>
          <w:szCs w:val="24"/>
          <w:bdr w:val="nil"/>
        </w:rPr>
        <w:t>SUJETO OBLIGADO</w:t>
      </w:r>
      <w:r w:rsidR="002C0425" w:rsidRPr="002A43BC">
        <w:rPr>
          <w:rFonts w:ascii="Palatino Linotype" w:eastAsia="Arial Unicode MS" w:hAnsi="Palatino Linotype" w:cs="Arial"/>
          <w:sz w:val="24"/>
          <w:szCs w:val="24"/>
          <w:bdr w:val="nil"/>
        </w:rPr>
        <w:t xml:space="preserve"> le proporcionara, vía Sistema de Acc</w:t>
      </w:r>
      <w:r w:rsidR="00032496" w:rsidRPr="002A43BC">
        <w:rPr>
          <w:rFonts w:ascii="Palatino Linotype" w:eastAsia="Arial Unicode MS" w:hAnsi="Palatino Linotype" w:cs="Arial"/>
          <w:sz w:val="24"/>
          <w:szCs w:val="24"/>
          <w:bdr w:val="nil"/>
        </w:rPr>
        <w:t xml:space="preserve">eso a la Información Mexiquense </w:t>
      </w:r>
      <w:r w:rsidR="002C0425" w:rsidRPr="002A43BC">
        <w:rPr>
          <w:rFonts w:ascii="Palatino Linotype" w:eastAsia="Arial Unicode MS" w:hAnsi="Palatino Linotype" w:cs="Arial"/>
          <w:sz w:val="24"/>
          <w:szCs w:val="24"/>
          <w:bdr w:val="nil"/>
        </w:rPr>
        <w:t>(S</w:t>
      </w:r>
      <w:r w:rsidR="00E42F7C">
        <w:rPr>
          <w:rFonts w:ascii="Palatino Linotype" w:eastAsia="Arial Unicode MS" w:hAnsi="Palatino Linotype" w:cs="Arial"/>
          <w:sz w:val="24"/>
          <w:szCs w:val="24"/>
          <w:bdr w:val="nil"/>
        </w:rPr>
        <w:t>AIMEX) la siguiente información:</w:t>
      </w:r>
    </w:p>
    <w:p w:rsidR="00E42F7C" w:rsidRDefault="00E42F7C" w:rsidP="0034598D">
      <w:pPr>
        <w:pBdr>
          <w:top w:val="nil"/>
          <w:left w:val="nil"/>
          <w:bottom w:val="nil"/>
          <w:right w:val="nil"/>
          <w:between w:val="nil"/>
          <w:bar w:val="nil"/>
        </w:pBdr>
        <w:spacing w:after="0" w:line="360" w:lineRule="auto"/>
        <w:ind w:right="49"/>
        <w:contextualSpacing/>
        <w:jc w:val="both"/>
        <w:rPr>
          <w:rFonts w:ascii="Palatino Linotype" w:eastAsia="Arial Unicode MS" w:hAnsi="Palatino Linotype" w:cs="Arial"/>
          <w:color w:val="000000" w:themeColor="text1"/>
          <w:sz w:val="24"/>
          <w:szCs w:val="24"/>
          <w:bdr w:val="nil"/>
        </w:rPr>
      </w:pPr>
    </w:p>
    <w:p w:rsidR="00142003" w:rsidRPr="00A81784" w:rsidRDefault="00142003" w:rsidP="00142003">
      <w:pPr>
        <w:ind w:left="851" w:right="899"/>
        <w:jc w:val="both"/>
        <w:rPr>
          <w:rFonts w:ascii="Palatino Linotype" w:hAnsi="Palatino Linotype" w:cs="Arial"/>
          <w:i/>
        </w:rPr>
      </w:pPr>
      <w:r w:rsidRPr="00A81784">
        <w:rPr>
          <w:rFonts w:ascii="Palatino Linotype" w:hAnsi="Palatino Linotype" w:cs="Arial"/>
          <w:i/>
        </w:rPr>
        <w:t xml:space="preserve">“se le solicita a la </w:t>
      </w:r>
      <w:proofErr w:type="spellStart"/>
      <w:r w:rsidRPr="00A81784">
        <w:rPr>
          <w:rFonts w:ascii="Palatino Linotype" w:hAnsi="Palatino Linotype" w:cs="Arial"/>
          <w:i/>
        </w:rPr>
        <w:t>fiscalia</w:t>
      </w:r>
      <w:proofErr w:type="spellEnd"/>
      <w:r w:rsidRPr="00A81784">
        <w:rPr>
          <w:rFonts w:ascii="Palatino Linotype" w:hAnsi="Palatino Linotype" w:cs="Arial"/>
          <w:i/>
        </w:rPr>
        <w:t xml:space="preserve"> general de justicia del estado de </w:t>
      </w:r>
      <w:proofErr w:type="spellStart"/>
      <w:r w:rsidRPr="00A81784">
        <w:rPr>
          <w:rFonts w:ascii="Palatino Linotype" w:hAnsi="Palatino Linotype" w:cs="Arial"/>
          <w:i/>
        </w:rPr>
        <w:t>mexico</w:t>
      </w:r>
      <w:proofErr w:type="spellEnd"/>
      <w:r w:rsidRPr="00A81784">
        <w:rPr>
          <w:rFonts w:ascii="Palatino Linotype" w:hAnsi="Palatino Linotype" w:cs="Arial"/>
          <w:i/>
        </w:rPr>
        <w:t xml:space="preserve"> que haga la entrega de la puesta a </w:t>
      </w:r>
      <w:proofErr w:type="spellStart"/>
      <w:r w:rsidRPr="00A81784">
        <w:rPr>
          <w:rFonts w:ascii="Palatino Linotype" w:hAnsi="Palatino Linotype" w:cs="Arial"/>
          <w:i/>
        </w:rPr>
        <w:t>dispocicion</w:t>
      </w:r>
      <w:proofErr w:type="spellEnd"/>
      <w:r w:rsidRPr="00A81784">
        <w:rPr>
          <w:rFonts w:ascii="Palatino Linotype" w:hAnsi="Palatino Linotype" w:cs="Arial"/>
          <w:i/>
        </w:rPr>
        <w:t xml:space="preserve"> de </w:t>
      </w:r>
      <w:r w:rsidR="008E7F3F" w:rsidRPr="008E7F3F">
        <w:rPr>
          <w:rFonts w:ascii="Palatino Linotype" w:hAnsi="Palatino Linotype" w:cs="Arial"/>
          <w:i/>
          <w:highlight w:val="black"/>
        </w:rPr>
        <w:t>---------------------------</w:t>
      </w:r>
      <w:r w:rsidRPr="00A81784">
        <w:rPr>
          <w:rFonts w:ascii="Palatino Linotype" w:hAnsi="Palatino Linotype" w:cs="Arial"/>
          <w:i/>
        </w:rPr>
        <w:t xml:space="preserve"> e </w:t>
      </w:r>
      <w:r w:rsidR="008E7F3F" w:rsidRPr="008E7F3F">
        <w:rPr>
          <w:rFonts w:ascii="Palatino Linotype" w:hAnsi="Palatino Linotype" w:cs="Arial"/>
          <w:i/>
          <w:highlight w:val="black"/>
        </w:rPr>
        <w:t>------------------</w:t>
      </w:r>
      <w:r w:rsidRPr="008E7F3F">
        <w:rPr>
          <w:rFonts w:ascii="Palatino Linotype" w:hAnsi="Palatino Linotype" w:cs="Arial"/>
          <w:i/>
          <w:highlight w:val="black"/>
        </w:rPr>
        <w:t xml:space="preserve"> </w:t>
      </w:r>
      <w:r w:rsidR="008E7F3F" w:rsidRPr="008E7F3F">
        <w:rPr>
          <w:rFonts w:ascii="Palatino Linotype" w:hAnsi="Palatino Linotype" w:cs="Arial"/>
          <w:i/>
          <w:highlight w:val="black"/>
        </w:rPr>
        <w:t>----------------</w:t>
      </w:r>
      <w:r w:rsidRPr="00A81784">
        <w:rPr>
          <w:rFonts w:ascii="Palatino Linotype" w:hAnsi="Palatino Linotype" w:cs="Arial"/>
          <w:i/>
        </w:rPr>
        <w:t xml:space="preserve"> en la calle </w:t>
      </w:r>
      <w:r w:rsidR="008E7F3F" w:rsidRPr="008E7F3F">
        <w:rPr>
          <w:rFonts w:ascii="Palatino Linotype" w:hAnsi="Palatino Linotype" w:cs="Arial"/>
          <w:i/>
          <w:highlight w:val="black"/>
        </w:rPr>
        <w:t>-------------</w:t>
      </w:r>
      <w:r w:rsidRPr="00A81784">
        <w:rPr>
          <w:rFonts w:ascii="Palatino Linotype" w:hAnsi="Palatino Linotype" w:cs="Arial"/>
          <w:i/>
        </w:rPr>
        <w:t xml:space="preserve"> de la colonia </w:t>
      </w:r>
      <w:r w:rsidR="008E7F3F" w:rsidRPr="008E7F3F">
        <w:rPr>
          <w:rFonts w:ascii="Palatino Linotype" w:hAnsi="Palatino Linotype" w:cs="Arial"/>
          <w:i/>
          <w:highlight w:val="black"/>
        </w:rPr>
        <w:t>---------------------------------</w:t>
      </w:r>
      <w:r w:rsidRPr="00A81784">
        <w:rPr>
          <w:rFonts w:ascii="Palatino Linotype" w:hAnsi="Palatino Linotype" w:cs="Arial"/>
          <w:i/>
        </w:rPr>
        <w:t xml:space="preserve"> municipio de valle de </w:t>
      </w:r>
      <w:proofErr w:type="spellStart"/>
      <w:r w:rsidRPr="00A81784">
        <w:rPr>
          <w:rFonts w:ascii="Palatino Linotype" w:hAnsi="Palatino Linotype" w:cs="Arial"/>
          <w:i/>
        </w:rPr>
        <w:t>chalco</w:t>
      </w:r>
      <w:proofErr w:type="spellEnd"/>
      <w:r w:rsidRPr="00A81784">
        <w:rPr>
          <w:rFonts w:ascii="Palatino Linotype" w:hAnsi="Palatino Linotype" w:cs="Arial"/>
          <w:i/>
        </w:rPr>
        <w:t xml:space="preserve"> exactamente esta información porque fueron detenidos </w:t>
      </w:r>
      <w:proofErr w:type="spellStart"/>
      <w:r w:rsidRPr="00A81784">
        <w:rPr>
          <w:rFonts w:ascii="Palatino Linotype" w:hAnsi="Palatino Linotype" w:cs="Arial"/>
          <w:i/>
        </w:rPr>
        <w:t>iligalmente</w:t>
      </w:r>
      <w:proofErr w:type="spellEnd"/>
      <w:r w:rsidRPr="00A81784">
        <w:rPr>
          <w:rFonts w:ascii="Palatino Linotype" w:hAnsi="Palatino Linotype" w:cs="Arial"/>
          <w:i/>
        </w:rPr>
        <w:t xml:space="preserve"> sin orden de un juez y no que informe esta </w:t>
      </w:r>
      <w:proofErr w:type="spellStart"/>
      <w:r w:rsidRPr="00A81784">
        <w:rPr>
          <w:rFonts w:ascii="Palatino Linotype" w:hAnsi="Palatino Linotype" w:cs="Arial"/>
          <w:i/>
        </w:rPr>
        <w:t>fiscalia</w:t>
      </w:r>
      <w:proofErr w:type="spellEnd"/>
      <w:r w:rsidRPr="00A81784">
        <w:rPr>
          <w:rFonts w:ascii="Palatino Linotype" w:hAnsi="Palatino Linotype" w:cs="Arial"/>
          <w:i/>
        </w:rPr>
        <w:t xml:space="preserve"> que si </w:t>
      </w:r>
      <w:proofErr w:type="spellStart"/>
      <w:r w:rsidRPr="00A81784">
        <w:rPr>
          <w:rFonts w:ascii="Palatino Linotype" w:hAnsi="Palatino Linotype" w:cs="Arial"/>
          <w:i/>
        </w:rPr>
        <w:t>estan</w:t>
      </w:r>
      <w:proofErr w:type="spellEnd"/>
      <w:r w:rsidRPr="00A81784">
        <w:rPr>
          <w:rFonts w:ascii="Palatino Linotype" w:hAnsi="Palatino Linotype" w:cs="Arial"/>
          <w:i/>
        </w:rPr>
        <w:t xml:space="preserve"> relacionados en una carpeta que </w:t>
      </w:r>
      <w:proofErr w:type="spellStart"/>
      <w:r w:rsidRPr="00A81784">
        <w:rPr>
          <w:rFonts w:ascii="Palatino Linotype" w:hAnsi="Palatino Linotype" w:cs="Arial"/>
          <w:i/>
        </w:rPr>
        <w:t>despues</w:t>
      </w:r>
      <w:proofErr w:type="spellEnd"/>
      <w:r w:rsidRPr="00A81784">
        <w:rPr>
          <w:rFonts w:ascii="Palatino Linotype" w:hAnsi="Palatino Linotype" w:cs="Arial"/>
          <w:i/>
        </w:rPr>
        <w:t xml:space="preserve"> armaron y fabricaron y que lo </w:t>
      </w:r>
      <w:proofErr w:type="spellStart"/>
      <w:r w:rsidRPr="00A81784">
        <w:rPr>
          <w:rFonts w:ascii="Palatino Linotype" w:hAnsi="Palatino Linotype" w:cs="Arial"/>
          <w:i/>
        </w:rPr>
        <w:t>estan</w:t>
      </w:r>
      <w:proofErr w:type="spellEnd"/>
      <w:r w:rsidRPr="00A81784">
        <w:rPr>
          <w:rFonts w:ascii="Palatino Linotype" w:hAnsi="Palatino Linotype" w:cs="Arial"/>
          <w:i/>
        </w:rPr>
        <w:t xml:space="preserve"> </w:t>
      </w:r>
      <w:r w:rsidRPr="00A81784">
        <w:rPr>
          <w:rFonts w:ascii="Palatino Linotype" w:hAnsi="Palatino Linotype" w:cs="Arial"/>
          <w:i/>
        </w:rPr>
        <w:lastRenderedPageBreak/>
        <w:t xml:space="preserve">llevando a proceso yo de esto no </w:t>
      </w:r>
      <w:proofErr w:type="spellStart"/>
      <w:r w:rsidRPr="00A81784">
        <w:rPr>
          <w:rFonts w:ascii="Palatino Linotype" w:hAnsi="Palatino Linotype" w:cs="Arial"/>
          <w:i/>
        </w:rPr>
        <w:t>entorpesco</w:t>
      </w:r>
      <w:proofErr w:type="spellEnd"/>
      <w:r w:rsidRPr="00A81784">
        <w:rPr>
          <w:rFonts w:ascii="Palatino Linotype" w:hAnsi="Palatino Linotype" w:cs="Arial"/>
          <w:i/>
        </w:rPr>
        <w:t xml:space="preserve"> por que </w:t>
      </w:r>
      <w:proofErr w:type="spellStart"/>
      <w:r w:rsidRPr="00A81784">
        <w:rPr>
          <w:rFonts w:ascii="Palatino Linotype" w:hAnsi="Palatino Linotype" w:cs="Arial"/>
          <w:i/>
        </w:rPr>
        <w:t>esta</w:t>
      </w:r>
      <w:proofErr w:type="spellEnd"/>
      <w:r w:rsidRPr="00A81784">
        <w:rPr>
          <w:rFonts w:ascii="Palatino Linotype" w:hAnsi="Palatino Linotype" w:cs="Arial"/>
          <w:i/>
        </w:rPr>
        <w:t xml:space="preserve"> en curso </w:t>
      </w:r>
      <w:proofErr w:type="spellStart"/>
      <w:r w:rsidRPr="00A81784">
        <w:rPr>
          <w:rFonts w:ascii="Palatino Linotype" w:hAnsi="Palatino Linotype" w:cs="Arial"/>
          <w:i/>
        </w:rPr>
        <w:t>unicamente</w:t>
      </w:r>
      <w:proofErr w:type="spellEnd"/>
      <w:r w:rsidRPr="00A81784">
        <w:rPr>
          <w:rFonts w:ascii="Palatino Linotype" w:hAnsi="Palatino Linotype" w:cs="Arial"/>
          <w:i/>
        </w:rPr>
        <w:t xml:space="preserve"> pido lo de la fecha señalada porque en esta </w:t>
      </w:r>
      <w:proofErr w:type="spellStart"/>
      <w:r w:rsidRPr="00A81784">
        <w:rPr>
          <w:rFonts w:ascii="Palatino Linotype" w:hAnsi="Palatino Linotype" w:cs="Arial"/>
          <w:i/>
        </w:rPr>
        <w:t>detencion</w:t>
      </w:r>
      <w:proofErr w:type="spellEnd"/>
      <w:r w:rsidRPr="00A81784">
        <w:rPr>
          <w:rFonts w:ascii="Palatino Linotype" w:hAnsi="Palatino Linotype" w:cs="Arial"/>
          <w:i/>
        </w:rPr>
        <w:t xml:space="preserve"> del </w:t>
      </w:r>
      <w:proofErr w:type="spellStart"/>
      <w:r w:rsidRPr="00A81784">
        <w:rPr>
          <w:rFonts w:ascii="Palatino Linotype" w:hAnsi="Palatino Linotype" w:cs="Arial"/>
          <w:i/>
        </w:rPr>
        <w:t>dia</w:t>
      </w:r>
      <w:proofErr w:type="spellEnd"/>
      <w:r w:rsidRPr="00A81784">
        <w:rPr>
          <w:rFonts w:ascii="Palatino Linotype" w:hAnsi="Palatino Linotype" w:cs="Arial"/>
          <w:i/>
        </w:rPr>
        <w:t xml:space="preserve"> 25 se cuentan con bastantes testigos incluso con la madre de </w:t>
      </w:r>
      <w:proofErr w:type="spellStart"/>
      <w:r w:rsidRPr="008E7F3F">
        <w:rPr>
          <w:rFonts w:ascii="Palatino Linotype" w:hAnsi="Palatino Linotype" w:cs="Arial"/>
          <w:i/>
          <w:highlight w:val="black"/>
        </w:rPr>
        <w:t>anahi</w:t>
      </w:r>
      <w:proofErr w:type="spellEnd"/>
      <w:r w:rsidRPr="00A81784">
        <w:rPr>
          <w:rFonts w:ascii="Palatino Linotype" w:hAnsi="Palatino Linotype" w:cs="Arial"/>
          <w:i/>
        </w:rPr>
        <w:t xml:space="preserve"> la señora </w:t>
      </w:r>
      <w:r w:rsidR="008E7F3F" w:rsidRPr="008E7F3F">
        <w:rPr>
          <w:rFonts w:ascii="Palatino Linotype" w:hAnsi="Palatino Linotype" w:cs="Arial"/>
          <w:i/>
          <w:highlight w:val="black"/>
        </w:rPr>
        <w:t>-----------------------</w:t>
      </w:r>
      <w:r w:rsidRPr="00A81784">
        <w:rPr>
          <w:rFonts w:ascii="Palatino Linotype" w:hAnsi="Palatino Linotype" w:cs="Arial"/>
          <w:i/>
        </w:rPr>
        <w:t xml:space="preserve"> y el dueño de la casa de dicho domicilio no queremos saber otra </w:t>
      </w:r>
      <w:proofErr w:type="spellStart"/>
      <w:r w:rsidRPr="00A81784">
        <w:rPr>
          <w:rFonts w:ascii="Palatino Linotype" w:hAnsi="Palatino Linotype" w:cs="Arial"/>
          <w:i/>
        </w:rPr>
        <w:t>informacion</w:t>
      </w:r>
      <w:proofErr w:type="spellEnd"/>
      <w:r w:rsidRPr="00A81784">
        <w:rPr>
          <w:rFonts w:ascii="Palatino Linotype" w:hAnsi="Palatino Linotype" w:cs="Arial"/>
          <w:i/>
        </w:rPr>
        <w:t xml:space="preserve"> </w:t>
      </w:r>
      <w:proofErr w:type="spellStart"/>
      <w:r w:rsidRPr="00A81784">
        <w:rPr>
          <w:rFonts w:ascii="Palatino Linotype" w:hAnsi="Palatino Linotype" w:cs="Arial"/>
          <w:i/>
        </w:rPr>
        <w:t>unicamente</w:t>
      </w:r>
      <w:proofErr w:type="spellEnd"/>
      <w:r w:rsidRPr="00A81784">
        <w:rPr>
          <w:rFonts w:ascii="Palatino Linotype" w:hAnsi="Palatino Linotype" w:cs="Arial"/>
          <w:i/>
        </w:rPr>
        <w:t xml:space="preserve"> la de la fecha señalada y el lugar” (Sic).</w:t>
      </w:r>
    </w:p>
    <w:p w:rsidR="008957BF" w:rsidRPr="001E1ABF" w:rsidRDefault="008957BF" w:rsidP="00142003">
      <w:pPr>
        <w:tabs>
          <w:tab w:val="left" w:pos="4667"/>
        </w:tabs>
        <w:spacing w:after="0" w:line="360" w:lineRule="auto"/>
        <w:ind w:right="567"/>
        <w:jc w:val="both"/>
        <w:rPr>
          <w:rFonts w:ascii="Palatino Linotype" w:hAnsi="Palatino Linotype" w:cs="Tahoma"/>
          <w:bCs/>
        </w:rPr>
      </w:pPr>
    </w:p>
    <w:p w:rsidR="00E42F9C" w:rsidRPr="00142003" w:rsidRDefault="002C0425" w:rsidP="0034598D">
      <w:pPr>
        <w:numPr>
          <w:ilvl w:val="0"/>
          <w:numId w:val="1"/>
        </w:numPr>
        <w:pBdr>
          <w:top w:val="nil"/>
          <w:left w:val="nil"/>
          <w:bottom w:val="nil"/>
          <w:right w:val="nil"/>
          <w:between w:val="nil"/>
          <w:bar w:val="nil"/>
        </w:pBdr>
        <w:spacing w:after="0" w:line="360" w:lineRule="auto"/>
        <w:ind w:left="0" w:firstLine="0"/>
        <w:contextualSpacing/>
        <w:jc w:val="both"/>
        <w:rPr>
          <w:rFonts w:ascii="Palatino Linotype" w:eastAsia="Arial Unicode MS" w:hAnsi="Palatino Linotype" w:cs="Arial"/>
          <w:sz w:val="24"/>
          <w:szCs w:val="24"/>
          <w:bdr w:val="nil"/>
        </w:rPr>
      </w:pPr>
      <w:r w:rsidRPr="00142003">
        <w:rPr>
          <w:rFonts w:ascii="Palatino Linotype" w:eastAsia="Arial Unicode MS" w:hAnsi="Palatino Linotype" w:cs="Arial"/>
          <w:color w:val="000000" w:themeColor="text1"/>
          <w:sz w:val="24"/>
          <w:szCs w:val="24"/>
          <w:bdr w:val="nil"/>
        </w:rPr>
        <w:t xml:space="preserve">En atención a dicha solicitud el </w:t>
      </w:r>
      <w:r w:rsidR="00930D24" w:rsidRPr="00142003">
        <w:rPr>
          <w:rFonts w:ascii="Palatino Linotype" w:eastAsia="Arial Unicode MS" w:hAnsi="Palatino Linotype" w:cs="Arial"/>
          <w:b/>
          <w:color w:val="000000" w:themeColor="text1"/>
          <w:sz w:val="24"/>
          <w:szCs w:val="24"/>
          <w:bdr w:val="nil"/>
        </w:rPr>
        <w:t>Sujeto Obligado</w:t>
      </w:r>
      <w:r w:rsidR="00930D24" w:rsidRPr="00142003">
        <w:rPr>
          <w:rFonts w:ascii="Palatino Linotype" w:eastAsia="Arial Unicode MS" w:hAnsi="Palatino Linotype" w:cs="Arial"/>
          <w:color w:val="000000" w:themeColor="text1"/>
          <w:sz w:val="24"/>
          <w:szCs w:val="24"/>
          <w:bdr w:val="nil"/>
        </w:rPr>
        <w:t xml:space="preserve"> </w:t>
      </w:r>
      <w:r w:rsidR="00142003">
        <w:rPr>
          <w:rFonts w:ascii="Palatino Linotype" w:eastAsia="Arial Unicode MS" w:hAnsi="Palatino Linotype" w:cs="Times New Roman"/>
          <w:color w:val="000000" w:themeColor="text1"/>
          <w:sz w:val="24"/>
          <w:szCs w:val="24"/>
          <w:bdr w:val="nil"/>
        </w:rPr>
        <w:t>señaló que;</w:t>
      </w:r>
    </w:p>
    <w:p w:rsidR="00142003" w:rsidRPr="00142003" w:rsidRDefault="00142003" w:rsidP="00142003">
      <w:pPr>
        <w:pBdr>
          <w:top w:val="nil"/>
          <w:left w:val="nil"/>
          <w:bottom w:val="nil"/>
          <w:right w:val="nil"/>
          <w:between w:val="nil"/>
          <w:bar w:val="nil"/>
        </w:pBdr>
        <w:spacing w:after="0" w:line="360" w:lineRule="auto"/>
        <w:contextualSpacing/>
        <w:jc w:val="both"/>
        <w:rPr>
          <w:rFonts w:ascii="Palatino Linotype" w:eastAsia="Arial Unicode MS" w:hAnsi="Palatino Linotype" w:cs="Arial"/>
          <w:sz w:val="24"/>
          <w:szCs w:val="24"/>
          <w:bdr w:val="nil"/>
        </w:rPr>
      </w:pPr>
    </w:p>
    <w:p w:rsidR="00142003" w:rsidRDefault="00142003" w:rsidP="00142003">
      <w:pPr>
        <w:pBdr>
          <w:top w:val="nil"/>
          <w:left w:val="nil"/>
          <w:bottom w:val="nil"/>
          <w:right w:val="nil"/>
          <w:between w:val="nil"/>
          <w:bar w:val="nil"/>
        </w:pBdr>
        <w:spacing w:after="0" w:line="360" w:lineRule="auto"/>
        <w:ind w:left="567" w:right="474"/>
        <w:contextualSpacing/>
        <w:jc w:val="both"/>
        <w:rPr>
          <w:rFonts w:ascii="Palatino Linotype" w:hAnsi="Palatino Linotype" w:cs="Arial"/>
          <w:i/>
        </w:rPr>
      </w:pPr>
      <w:r>
        <w:rPr>
          <w:rFonts w:ascii="Palatino Linotype" w:hAnsi="Palatino Linotype" w:cs="Arial"/>
          <w:i/>
        </w:rPr>
        <w:t xml:space="preserve">[…] </w:t>
      </w:r>
      <w:r w:rsidRPr="00A81784">
        <w:rPr>
          <w:rFonts w:ascii="Palatino Linotype" w:hAnsi="Palatino Linotype" w:cs="Arial"/>
          <w:i/>
        </w:rPr>
        <w:t xml:space="preserve">Al respecto, esta Fiscalía General de Justicia del Estado de México, con fundamento en los artículos 1, 4 y 163 de la Ley de Transparencia y Acceso a la Información Pública del Estado de México y Municipios, hace de su conocimiento que de acuerdo a lo informado por el Secretario Particular del Fiscal Regional de Amecameca, la puesta a disposición (Informe Policial Homologado IPH) de la C. </w:t>
      </w:r>
      <w:r w:rsidR="008E7F3F" w:rsidRPr="008E7F3F">
        <w:rPr>
          <w:rFonts w:ascii="Palatino Linotype" w:hAnsi="Palatino Linotype" w:cs="Arial"/>
          <w:i/>
          <w:highlight w:val="black"/>
        </w:rPr>
        <w:t>----------------------------</w:t>
      </w:r>
      <w:r w:rsidRPr="00A81784">
        <w:rPr>
          <w:rFonts w:ascii="Palatino Linotype" w:hAnsi="Palatino Linotype" w:cs="Arial"/>
          <w:i/>
        </w:rPr>
        <w:t xml:space="preserve"> </w:t>
      </w:r>
      <w:proofErr w:type="spellStart"/>
      <w:r w:rsidRPr="00A81784">
        <w:rPr>
          <w:rFonts w:ascii="Palatino Linotype" w:hAnsi="Palatino Linotype" w:cs="Arial"/>
          <w:i/>
        </w:rPr>
        <w:t>e</w:t>
      </w:r>
      <w:proofErr w:type="spellEnd"/>
      <w:r w:rsidRPr="00A81784">
        <w:rPr>
          <w:rFonts w:ascii="Palatino Linotype" w:hAnsi="Palatino Linotype" w:cs="Arial"/>
          <w:i/>
        </w:rPr>
        <w:t xml:space="preserve"> </w:t>
      </w:r>
      <w:r w:rsidR="008E7F3F" w:rsidRPr="008E7F3F">
        <w:rPr>
          <w:rFonts w:ascii="Palatino Linotype" w:hAnsi="Palatino Linotype" w:cs="Arial"/>
          <w:i/>
          <w:highlight w:val="black"/>
        </w:rPr>
        <w:t>------------------------------------</w:t>
      </w:r>
      <w:r w:rsidRPr="00A81784">
        <w:rPr>
          <w:rFonts w:ascii="Palatino Linotype" w:hAnsi="Palatino Linotype" w:cs="Arial"/>
          <w:i/>
        </w:rPr>
        <w:t xml:space="preserve">, forma parte de la Carpeta de Investigación número CHA/AME/CHA/020/106651/17/05, de cuyo análisis se advierte que Usted no forma parte, no obstante que para acceder a la información que obra en la indagatoria, es un requisito de </w:t>
      </w:r>
      <w:proofErr w:type="spellStart"/>
      <w:r w:rsidRPr="00A81784">
        <w:rPr>
          <w:rFonts w:ascii="Palatino Linotype" w:hAnsi="Palatino Linotype" w:cs="Arial"/>
          <w:i/>
        </w:rPr>
        <w:t>procedibilidad</w:t>
      </w:r>
      <w:proofErr w:type="spellEnd"/>
      <w:r w:rsidRPr="00A81784">
        <w:rPr>
          <w:rFonts w:ascii="Palatino Linotype" w:hAnsi="Palatino Linotype" w:cs="Arial"/>
          <w:i/>
        </w:rPr>
        <w:t xml:space="preserve"> que demuestre fehacientemente ser parte de dicha Carpeta, acreditando su personalidad jurídica ante el Agente del Ministerio Público Investigador del Centro de Atención Ciudadana del Valle de Chalco. Lo anterior es así ya qué la Carpeta de Investigación que requiere no se encuentra concluida, en virtud de estar en presencia de un hecho delictivo, lo que significa que aún está pendiente de practicar y ordenar actos de investigación de manera confidencial, a efecto de establecer la existencia del hecho delictivo, motivo de la denuncia</w:t>
      </w:r>
      <w:r>
        <w:rPr>
          <w:rFonts w:ascii="Palatino Linotype" w:hAnsi="Palatino Linotype" w:cs="Arial"/>
          <w:i/>
        </w:rPr>
        <w:t xml:space="preserve"> […]</w:t>
      </w:r>
    </w:p>
    <w:p w:rsidR="00142003" w:rsidRPr="00142003" w:rsidRDefault="00142003" w:rsidP="00142003">
      <w:pPr>
        <w:pBdr>
          <w:top w:val="nil"/>
          <w:left w:val="nil"/>
          <w:bottom w:val="nil"/>
          <w:right w:val="nil"/>
          <w:between w:val="nil"/>
          <w:bar w:val="nil"/>
        </w:pBdr>
        <w:spacing w:after="0" w:line="360" w:lineRule="auto"/>
        <w:contextualSpacing/>
        <w:jc w:val="both"/>
        <w:rPr>
          <w:rFonts w:ascii="Palatino Linotype" w:eastAsia="Arial Unicode MS" w:hAnsi="Palatino Linotype" w:cs="Arial"/>
          <w:sz w:val="24"/>
          <w:szCs w:val="24"/>
          <w:bdr w:val="nil"/>
        </w:rPr>
      </w:pPr>
    </w:p>
    <w:p w:rsidR="003C6C75" w:rsidRDefault="00FF0294" w:rsidP="0034598D">
      <w:pPr>
        <w:numPr>
          <w:ilvl w:val="0"/>
          <w:numId w:val="1"/>
        </w:numPr>
        <w:pBdr>
          <w:top w:val="nil"/>
          <w:left w:val="nil"/>
          <w:bottom w:val="nil"/>
          <w:right w:val="nil"/>
          <w:between w:val="nil"/>
          <w:bar w:val="nil"/>
        </w:pBdr>
        <w:spacing w:after="0" w:line="360" w:lineRule="auto"/>
        <w:ind w:left="0" w:firstLine="0"/>
        <w:contextualSpacing/>
        <w:jc w:val="both"/>
        <w:rPr>
          <w:rFonts w:ascii="Palatino Linotype" w:eastAsia="Arial Unicode MS" w:hAnsi="Palatino Linotype" w:cs="Arial"/>
          <w:sz w:val="24"/>
          <w:szCs w:val="24"/>
          <w:bdr w:val="nil"/>
        </w:rPr>
      </w:pPr>
      <w:r w:rsidRPr="00FF0294">
        <w:rPr>
          <w:rFonts w:ascii="Palatino Linotype" w:eastAsia="Arial Unicode MS" w:hAnsi="Palatino Linotype" w:cs="Times New Roman"/>
          <w:color w:val="000000" w:themeColor="text1"/>
          <w:sz w:val="24"/>
          <w:szCs w:val="24"/>
          <w:bdr w:val="nil"/>
          <w:lang w:val="es-ES_tradnl"/>
        </w:rPr>
        <w:t xml:space="preserve">Derivado de </w:t>
      </w:r>
      <w:r w:rsidR="00142003" w:rsidRPr="00FF0294">
        <w:rPr>
          <w:rFonts w:ascii="Palatino Linotype" w:eastAsia="Arial Unicode MS" w:hAnsi="Palatino Linotype" w:cs="Times New Roman"/>
          <w:color w:val="000000" w:themeColor="text1"/>
          <w:sz w:val="24"/>
          <w:szCs w:val="24"/>
          <w:bdr w:val="nil"/>
          <w:lang w:val="es-ES_tradnl"/>
        </w:rPr>
        <w:t>ello, la</w:t>
      </w:r>
      <w:r w:rsidRPr="00FF0294">
        <w:rPr>
          <w:rFonts w:ascii="Palatino Linotype" w:eastAsia="Arial Unicode MS" w:hAnsi="Palatino Linotype" w:cs="Times New Roman"/>
          <w:color w:val="000000" w:themeColor="text1"/>
          <w:sz w:val="24"/>
          <w:szCs w:val="24"/>
          <w:bdr w:val="nil"/>
          <w:lang w:val="es-ES_tradnl"/>
        </w:rPr>
        <w:t xml:space="preserve"> particular </w:t>
      </w:r>
      <w:r w:rsidR="00142003" w:rsidRPr="00FF0294">
        <w:rPr>
          <w:rFonts w:ascii="Palatino Linotype" w:eastAsia="Arial Unicode MS" w:hAnsi="Palatino Linotype" w:cs="Arial"/>
          <w:sz w:val="24"/>
          <w:szCs w:val="24"/>
          <w:bdr w:val="nil"/>
        </w:rPr>
        <w:t>interpuso recurso</w:t>
      </w:r>
      <w:r w:rsidR="002C0425" w:rsidRPr="00FF0294">
        <w:rPr>
          <w:rFonts w:ascii="Palatino Linotype" w:eastAsia="Arial Unicode MS" w:hAnsi="Palatino Linotype" w:cs="Arial"/>
          <w:sz w:val="24"/>
          <w:szCs w:val="24"/>
          <w:bdr w:val="nil"/>
        </w:rPr>
        <w:t xml:space="preserve"> de revisión manifestando medularmente como razones o motivos de inconformidad </w:t>
      </w:r>
      <w:r w:rsidR="00142003">
        <w:rPr>
          <w:rFonts w:ascii="Palatino Linotype" w:eastAsia="Arial Unicode MS" w:hAnsi="Palatino Linotype" w:cs="Arial"/>
          <w:sz w:val="24"/>
          <w:szCs w:val="24"/>
          <w:bdr w:val="nil"/>
        </w:rPr>
        <w:t xml:space="preserve">la clasificación de la información como reservada. </w:t>
      </w:r>
    </w:p>
    <w:p w:rsidR="00FF0294" w:rsidRPr="00FF0294" w:rsidRDefault="00FF0294" w:rsidP="0034598D">
      <w:pPr>
        <w:pBdr>
          <w:top w:val="nil"/>
          <w:left w:val="nil"/>
          <w:bottom w:val="nil"/>
          <w:right w:val="nil"/>
          <w:between w:val="nil"/>
          <w:bar w:val="nil"/>
        </w:pBdr>
        <w:spacing w:after="0" w:line="360" w:lineRule="auto"/>
        <w:contextualSpacing/>
        <w:jc w:val="both"/>
        <w:rPr>
          <w:rFonts w:ascii="Palatino Linotype" w:eastAsia="Arial Unicode MS" w:hAnsi="Palatino Linotype" w:cs="Arial"/>
          <w:sz w:val="24"/>
          <w:szCs w:val="24"/>
          <w:bdr w:val="nil"/>
        </w:rPr>
      </w:pPr>
    </w:p>
    <w:p w:rsidR="00401D61" w:rsidRPr="00FF0294" w:rsidRDefault="00FF0294" w:rsidP="0034598D">
      <w:pPr>
        <w:numPr>
          <w:ilvl w:val="0"/>
          <w:numId w:val="1"/>
        </w:numPr>
        <w:pBdr>
          <w:top w:val="nil"/>
          <w:left w:val="nil"/>
          <w:bottom w:val="nil"/>
          <w:right w:val="nil"/>
          <w:between w:val="nil"/>
          <w:bar w:val="nil"/>
        </w:pBdr>
        <w:spacing w:after="0" w:line="360" w:lineRule="auto"/>
        <w:ind w:left="0" w:firstLine="0"/>
        <w:contextualSpacing/>
        <w:jc w:val="both"/>
        <w:rPr>
          <w:rFonts w:ascii="Palatino Linotype" w:eastAsia="Arial Unicode MS" w:hAnsi="Palatino Linotype"/>
          <w:sz w:val="24"/>
          <w:szCs w:val="24"/>
          <w:bdr w:val="nil"/>
        </w:rPr>
      </w:pPr>
      <w:r>
        <w:rPr>
          <w:rFonts w:ascii="Palatino Linotype" w:eastAsia="Arial Unicode MS" w:hAnsi="Palatino Linotype" w:cs="Arial"/>
          <w:sz w:val="24"/>
          <w:szCs w:val="24"/>
          <w:bdr w:val="nil"/>
        </w:rPr>
        <w:t xml:space="preserve">Por lo que la ponencia </w:t>
      </w:r>
      <w:proofErr w:type="spellStart"/>
      <w:r>
        <w:rPr>
          <w:rFonts w:ascii="Palatino Linotype" w:eastAsia="Arial Unicode MS" w:hAnsi="Palatino Linotype" w:cs="Arial"/>
          <w:sz w:val="24"/>
          <w:szCs w:val="24"/>
          <w:bdr w:val="nil"/>
        </w:rPr>
        <w:t>resolutora</w:t>
      </w:r>
      <w:proofErr w:type="spellEnd"/>
      <w:r>
        <w:rPr>
          <w:rFonts w:ascii="Palatino Linotype" w:eastAsia="Arial Unicode MS" w:hAnsi="Palatino Linotype" w:cs="Arial"/>
          <w:sz w:val="24"/>
          <w:szCs w:val="24"/>
          <w:bdr w:val="nil"/>
        </w:rPr>
        <w:t xml:space="preserve">, procedió a realizar el estudio del asunto, únicamente </w:t>
      </w:r>
      <w:r w:rsidR="00EE639D">
        <w:rPr>
          <w:rFonts w:ascii="Palatino Linotype" w:eastAsia="Arial Unicode MS" w:hAnsi="Palatino Linotype" w:cs="Arial"/>
          <w:sz w:val="24"/>
          <w:szCs w:val="24"/>
          <w:bdr w:val="nil"/>
        </w:rPr>
        <w:t>señalando</w:t>
      </w:r>
      <w:r w:rsidR="00B90ADC">
        <w:rPr>
          <w:rFonts w:ascii="Palatino Linotype" w:eastAsia="Arial Unicode MS" w:hAnsi="Palatino Linotype" w:cs="Arial"/>
          <w:sz w:val="24"/>
          <w:szCs w:val="24"/>
          <w:bdr w:val="nil"/>
        </w:rPr>
        <w:t xml:space="preserve"> q</w:t>
      </w:r>
      <w:r w:rsidR="00142003">
        <w:rPr>
          <w:rFonts w:ascii="Palatino Linotype" w:eastAsia="Arial Unicode MS" w:hAnsi="Palatino Linotype" w:cs="Arial"/>
          <w:sz w:val="24"/>
          <w:szCs w:val="24"/>
          <w:bdr w:val="nil"/>
        </w:rPr>
        <w:t>ue la difusión de la Carpeta de Investigación referida, podrá obstruir, limitar, obstaculizar las funciones del Ministerio Púb</w:t>
      </w:r>
      <w:r w:rsidR="005B2D39">
        <w:rPr>
          <w:rFonts w:ascii="Palatino Linotype" w:eastAsia="Arial Unicode MS" w:hAnsi="Palatino Linotype" w:cs="Arial"/>
          <w:sz w:val="24"/>
          <w:szCs w:val="24"/>
          <w:bdr w:val="nil"/>
        </w:rPr>
        <w:t xml:space="preserve">lico durante la etapa de investigación y persecución del delito. </w:t>
      </w:r>
    </w:p>
    <w:p w:rsidR="00A3574A" w:rsidRDefault="00A3574A" w:rsidP="0034598D">
      <w:pPr>
        <w:pStyle w:val="Prrafodelista"/>
        <w:spacing w:after="0" w:line="360" w:lineRule="auto"/>
        <w:rPr>
          <w:rFonts w:ascii="Palatino Linotype" w:eastAsia="Arial Unicode MS" w:hAnsi="Palatino Linotype"/>
          <w:sz w:val="24"/>
          <w:szCs w:val="24"/>
          <w:bdr w:val="nil"/>
        </w:rPr>
      </w:pPr>
    </w:p>
    <w:p w:rsidR="00A3574A" w:rsidRDefault="00A3574A" w:rsidP="0034598D">
      <w:pPr>
        <w:numPr>
          <w:ilvl w:val="0"/>
          <w:numId w:val="1"/>
        </w:numPr>
        <w:pBdr>
          <w:top w:val="nil"/>
          <w:left w:val="nil"/>
          <w:bottom w:val="nil"/>
          <w:right w:val="nil"/>
          <w:between w:val="nil"/>
          <w:bar w:val="nil"/>
        </w:pBdr>
        <w:spacing w:after="0" w:line="360" w:lineRule="auto"/>
        <w:ind w:left="0" w:firstLine="0"/>
        <w:contextualSpacing/>
        <w:jc w:val="both"/>
        <w:rPr>
          <w:rFonts w:ascii="Palatino Linotype" w:eastAsia="Arial Unicode MS" w:hAnsi="Palatino Linotype"/>
          <w:sz w:val="24"/>
          <w:szCs w:val="24"/>
          <w:bdr w:val="nil"/>
        </w:rPr>
      </w:pPr>
      <w:r>
        <w:rPr>
          <w:rFonts w:ascii="Palatino Linotype" w:eastAsia="Arial Unicode MS" w:hAnsi="Palatino Linotype"/>
          <w:sz w:val="24"/>
          <w:szCs w:val="24"/>
          <w:bdr w:val="nil"/>
        </w:rPr>
        <w:t xml:space="preserve">De tal manera, que se emite el presente voto </w:t>
      </w:r>
      <w:r w:rsidR="00986004">
        <w:rPr>
          <w:rFonts w:ascii="Palatino Linotype" w:eastAsia="Arial Unicode MS" w:hAnsi="Palatino Linotype"/>
          <w:sz w:val="24"/>
          <w:szCs w:val="24"/>
          <w:bdr w:val="nil"/>
        </w:rPr>
        <w:t>disidente</w:t>
      </w:r>
      <w:r>
        <w:rPr>
          <w:rFonts w:ascii="Palatino Linotype" w:eastAsia="Arial Unicode MS" w:hAnsi="Palatino Linotype"/>
          <w:sz w:val="24"/>
          <w:szCs w:val="24"/>
          <w:bdr w:val="nil"/>
        </w:rPr>
        <w:t>, en el cual se aborda lo siguiente:</w:t>
      </w:r>
    </w:p>
    <w:p w:rsidR="00986004" w:rsidRDefault="00986004" w:rsidP="0034598D">
      <w:pPr>
        <w:pBdr>
          <w:top w:val="nil"/>
          <w:left w:val="nil"/>
          <w:bottom w:val="nil"/>
          <w:right w:val="nil"/>
          <w:between w:val="nil"/>
          <w:bar w:val="nil"/>
        </w:pBdr>
        <w:spacing w:after="0" w:line="360" w:lineRule="auto"/>
        <w:contextualSpacing/>
        <w:jc w:val="both"/>
        <w:rPr>
          <w:rFonts w:ascii="Palatino Linotype" w:eastAsia="Arial Unicode MS" w:hAnsi="Palatino Linotype"/>
          <w:sz w:val="24"/>
          <w:szCs w:val="24"/>
          <w:bdr w:val="nil"/>
        </w:rPr>
      </w:pPr>
    </w:p>
    <w:p w:rsidR="003603BF" w:rsidRPr="0002535E" w:rsidRDefault="00262FC1" w:rsidP="005B2D39">
      <w:pPr>
        <w:numPr>
          <w:ilvl w:val="0"/>
          <w:numId w:val="1"/>
        </w:numPr>
        <w:pBdr>
          <w:top w:val="nil"/>
          <w:left w:val="nil"/>
          <w:bottom w:val="nil"/>
          <w:right w:val="nil"/>
          <w:between w:val="nil"/>
          <w:bar w:val="nil"/>
        </w:pBdr>
        <w:spacing w:after="0" w:line="360" w:lineRule="auto"/>
        <w:ind w:left="0" w:firstLine="0"/>
        <w:contextualSpacing/>
        <w:jc w:val="both"/>
        <w:rPr>
          <w:rFonts w:ascii="Palatino Linotype" w:eastAsia="Arial" w:hAnsi="Palatino Linotype" w:cs="Arial"/>
          <w:b/>
          <w:color w:val="000000" w:themeColor="text1"/>
          <w:sz w:val="24"/>
          <w:szCs w:val="24"/>
          <w:bdr w:val="nil"/>
          <w:lang w:eastAsia="es-MX"/>
        </w:rPr>
      </w:pPr>
      <w:r>
        <w:rPr>
          <w:rFonts w:ascii="Palatino Linotype" w:eastAsia="Arial Unicode MS" w:hAnsi="Palatino Linotype"/>
          <w:sz w:val="24"/>
          <w:szCs w:val="24"/>
          <w:bdr w:val="nil"/>
        </w:rPr>
        <w:t>E</w:t>
      </w:r>
      <w:r w:rsidR="0002535E">
        <w:rPr>
          <w:rFonts w:ascii="Palatino Linotype" w:eastAsia="Arial Unicode MS" w:hAnsi="Palatino Linotype"/>
          <w:sz w:val="24"/>
          <w:szCs w:val="24"/>
          <w:bdr w:val="nil"/>
        </w:rPr>
        <w:t xml:space="preserve">l Derecho a la libertad es un derecho básico, propio de los atributos de la persona, por lo que es obligación de los Estados respetar de manera fehaciente las prerrogativas inherentes a los individuos, de tal forma que en el supuesto de que un individuo haya cometido un acto ilícito, se deberá garantizar el estricto apego al debido proceso, el cual únicamente puede constatarse a través de las actuaciones de las autoridades que han conocido del mismo. </w:t>
      </w:r>
    </w:p>
    <w:p w:rsidR="0002535E" w:rsidRDefault="0002535E" w:rsidP="0002535E">
      <w:pPr>
        <w:pStyle w:val="Prrafodelista"/>
        <w:rPr>
          <w:rFonts w:ascii="Palatino Linotype" w:eastAsia="Arial" w:hAnsi="Palatino Linotype" w:cs="Arial"/>
          <w:b/>
          <w:color w:val="000000" w:themeColor="text1"/>
          <w:sz w:val="24"/>
          <w:szCs w:val="24"/>
          <w:bdr w:val="nil"/>
          <w:lang w:eastAsia="es-MX"/>
        </w:rPr>
      </w:pPr>
    </w:p>
    <w:p w:rsidR="0002535E" w:rsidRPr="005B5E54" w:rsidRDefault="0002535E" w:rsidP="0002535E">
      <w:pPr>
        <w:numPr>
          <w:ilvl w:val="0"/>
          <w:numId w:val="1"/>
        </w:numPr>
        <w:pBdr>
          <w:top w:val="nil"/>
          <w:left w:val="nil"/>
          <w:bottom w:val="nil"/>
          <w:right w:val="nil"/>
          <w:between w:val="nil"/>
          <w:bar w:val="nil"/>
        </w:pBdr>
        <w:spacing w:after="0" w:line="360" w:lineRule="auto"/>
        <w:ind w:left="0" w:firstLine="0"/>
        <w:contextualSpacing/>
        <w:jc w:val="both"/>
        <w:rPr>
          <w:rFonts w:ascii="Palatino Linotype" w:eastAsia="Arial" w:hAnsi="Palatino Linotype" w:cs="Arial"/>
          <w:b/>
          <w:color w:val="000000" w:themeColor="text1"/>
          <w:sz w:val="24"/>
          <w:szCs w:val="24"/>
          <w:bdr w:val="nil"/>
          <w:lang w:eastAsia="es-MX"/>
        </w:rPr>
      </w:pPr>
      <w:r>
        <w:rPr>
          <w:rFonts w:ascii="Palatino Linotype" w:eastAsia="Arial" w:hAnsi="Palatino Linotype" w:cs="Arial"/>
          <w:bCs/>
          <w:color w:val="000000" w:themeColor="text1"/>
          <w:sz w:val="24"/>
          <w:szCs w:val="24"/>
          <w:bdr w:val="nil"/>
          <w:lang w:eastAsia="es-MX"/>
        </w:rPr>
        <w:t>Lo anterior en razón de que, el Estado cuenta con límites o restricciones en sus actuaciones, y más cuando se trate de la permisión de que se prive o restrinja la libertad. En entonces que, ante esto, cualquier privación de la libertad sea por comisión de un delito o por cualquier motivo, debe realizarse con estricto apego y cumplimiento de una serie de garantías que aseguren la protección y salvaguarda de los derechos de las personas</w:t>
      </w:r>
      <w:r w:rsidR="005B5E54">
        <w:rPr>
          <w:rFonts w:ascii="Palatino Linotype" w:eastAsia="Arial" w:hAnsi="Palatino Linotype" w:cs="Arial"/>
          <w:bCs/>
          <w:color w:val="000000" w:themeColor="text1"/>
          <w:sz w:val="24"/>
          <w:szCs w:val="24"/>
          <w:bdr w:val="nil"/>
          <w:lang w:eastAsia="es-MX"/>
        </w:rPr>
        <w:t xml:space="preserve">. </w:t>
      </w:r>
    </w:p>
    <w:p w:rsidR="005B5E54" w:rsidRDefault="005B5E54" w:rsidP="005B5E54">
      <w:pPr>
        <w:pStyle w:val="Prrafodelista"/>
        <w:rPr>
          <w:rFonts w:ascii="Palatino Linotype" w:eastAsia="Arial" w:hAnsi="Palatino Linotype" w:cs="Arial"/>
          <w:b/>
          <w:color w:val="000000" w:themeColor="text1"/>
          <w:sz w:val="24"/>
          <w:szCs w:val="24"/>
          <w:bdr w:val="nil"/>
          <w:lang w:eastAsia="es-MX"/>
        </w:rPr>
      </w:pPr>
    </w:p>
    <w:p w:rsidR="00B1189D" w:rsidRPr="00B1189D" w:rsidRDefault="005B5E54" w:rsidP="00B1189D">
      <w:pPr>
        <w:numPr>
          <w:ilvl w:val="0"/>
          <w:numId w:val="1"/>
        </w:numPr>
        <w:pBdr>
          <w:top w:val="nil"/>
          <w:left w:val="nil"/>
          <w:bottom w:val="nil"/>
          <w:right w:val="nil"/>
          <w:between w:val="nil"/>
          <w:bar w:val="nil"/>
        </w:pBdr>
        <w:spacing w:after="0" w:line="360" w:lineRule="auto"/>
        <w:ind w:left="0" w:firstLine="0"/>
        <w:contextualSpacing/>
        <w:jc w:val="both"/>
        <w:rPr>
          <w:rFonts w:ascii="Palatino Linotype" w:eastAsia="Arial" w:hAnsi="Palatino Linotype" w:cs="Arial"/>
          <w:b/>
          <w:color w:val="000000" w:themeColor="text1"/>
          <w:sz w:val="24"/>
          <w:szCs w:val="24"/>
          <w:bdr w:val="nil"/>
          <w:lang w:eastAsia="es-MX"/>
        </w:rPr>
      </w:pPr>
      <w:r>
        <w:rPr>
          <w:rFonts w:ascii="Palatino Linotype" w:eastAsia="Arial" w:hAnsi="Palatino Linotype" w:cs="Arial"/>
          <w:bCs/>
          <w:color w:val="000000" w:themeColor="text1"/>
          <w:sz w:val="24"/>
          <w:szCs w:val="24"/>
          <w:bdr w:val="nil"/>
          <w:lang w:eastAsia="es-MX"/>
        </w:rPr>
        <w:t>Para que se proceda a la privación de la libertad personal, se deben configurar dos aspectos, por un lado; que sea por causas, casos o circunstancias expresamente tipificadas en la ley y; que sea con estricta sujeción a los procedimientos definidos por la norma.</w:t>
      </w:r>
      <w:r>
        <w:rPr>
          <w:rFonts w:ascii="Palatino Linotype" w:eastAsia="Arial" w:hAnsi="Palatino Linotype" w:cs="Arial"/>
          <w:b/>
          <w:color w:val="000000" w:themeColor="text1"/>
          <w:sz w:val="24"/>
          <w:szCs w:val="24"/>
          <w:bdr w:val="nil"/>
          <w:lang w:eastAsia="es-MX"/>
        </w:rPr>
        <w:t xml:space="preserve"> </w:t>
      </w:r>
      <w:r w:rsidRPr="005B5E54">
        <w:rPr>
          <w:rFonts w:ascii="Palatino Linotype" w:eastAsia="Arial" w:hAnsi="Palatino Linotype" w:cs="Arial"/>
          <w:bCs/>
          <w:color w:val="000000" w:themeColor="text1"/>
          <w:sz w:val="24"/>
          <w:szCs w:val="24"/>
          <w:bdr w:val="nil"/>
          <w:lang w:eastAsia="es-MX"/>
        </w:rPr>
        <w:t>De tal forma que estos dos supuestos podrán ser expuestos y ser evaluados mediante los suministros de las actuaciones del Estado</w:t>
      </w:r>
      <w:r>
        <w:rPr>
          <w:rFonts w:ascii="Palatino Linotype" w:eastAsia="Arial" w:hAnsi="Palatino Linotype" w:cs="Arial"/>
          <w:bCs/>
          <w:color w:val="000000" w:themeColor="text1"/>
          <w:sz w:val="24"/>
          <w:szCs w:val="24"/>
          <w:bdr w:val="nil"/>
          <w:lang w:eastAsia="es-MX"/>
        </w:rPr>
        <w:t>, en los que se detalle los deberes de prevención, protección e investigación</w:t>
      </w:r>
      <w:r w:rsidR="00B1189D">
        <w:rPr>
          <w:rFonts w:ascii="Palatino Linotype" w:eastAsia="Arial" w:hAnsi="Palatino Linotype" w:cs="Arial"/>
          <w:bCs/>
          <w:color w:val="000000" w:themeColor="text1"/>
          <w:sz w:val="24"/>
          <w:szCs w:val="24"/>
          <w:bdr w:val="nil"/>
          <w:lang w:eastAsia="es-MX"/>
        </w:rPr>
        <w:t xml:space="preserve">, siendo que a falta de uno de ellos se generaría que la detención sea ilegal y contraria a la Constitución, Convenciones y Tratados Internacionales. </w:t>
      </w:r>
    </w:p>
    <w:p w:rsidR="00B1189D" w:rsidRPr="00B1189D" w:rsidRDefault="00B1189D" w:rsidP="00B1189D">
      <w:pPr>
        <w:pBdr>
          <w:top w:val="nil"/>
          <w:left w:val="nil"/>
          <w:bottom w:val="nil"/>
          <w:right w:val="nil"/>
          <w:between w:val="nil"/>
          <w:bar w:val="nil"/>
        </w:pBdr>
        <w:spacing w:after="0" w:line="360" w:lineRule="auto"/>
        <w:contextualSpacing/>
        <w:jc w:val="both"/>
        <w:rPr>
          <w:rFonts w:ascii="Palatino Linotype" w:eastAsia="Arial" w:hAnsi="Palatino Linotype" w:cs="Arial"/>
          <w:b/>
          <w:color w:val="000000" w:themeColor="text1"/>
          <w:sz w:val="24"/>
          <w:szCs w:val="24"/>
          <w:bdr w:val="nil"/>
          <w:lang w:eastAsia="es-MX"/>
        </w:rPr>
      </w:pPr>
    </w:p>
    <w:p w:rsidR="00B1189D" w:rsidRPr="00175A20" w:rsidRDefault="00B1189D" w:rsidP="00B1189D">
      <w:pPr>
        <w:numPr>
          <w:ilvl w:val="0"/>
          <w:numId w:val="1"/>
        </w:numPr>
        <w:pBdr>
          <w:top w:val="nil"/>
          <w:left w:val="nil"/>
          <w:bottom w:val="nil"/>
          <w:right w:val="nil"/>
          <w:between w:val="nil"/>
          <w:bar w:val="nil"/>
        </w:pBdr>
        <w:spacing w:after="0" w:line="360" w:lineRule="auto"/>
        <w:ind w:left="0" w:firstLine="0"/>
        <w:contextualSpacing/>
        <w:jc w:val="both"/>
        <w:rPr>
          <w:rFonts w:ascii="Palatino Linotype" w:eastAsia="Arial" w:hAnsi="Palatino Linotype" w:cs="Arial"/>
          <w:b/>
          <w:color w:val="000000" w:themeColor="text1"/>
          <w:sz w:val="24"/>
          <w:szCs w:val="24"/>
          <w:bdr w:val="nil"/>
          <w:lang w:eastAsia="es-MX"/>
        </w:rPr>
      </w:pPr>
      <w:r>
        <w:rPr>
          <w:rFonts w:ascii="Palatino Linotype" w:eastAsia="Arial" w:hAnsi="Palatino Linotype" w:cs="Arial"/>
          <w:bCs/>
          <w:color w:val="000000" w:themeColor="text1"/>
          <w:sz w:val="24"/>
          <w:szCs w:val="24"/>
          <w:bdr w:val="nil"/>
          <w:lang w:eastAsia="es-MX"/>
        </w:rPr>
        <w:t xml:space="preserve">En conclusión, el objeto del presente asunto debió haber sido entregado al particular a través de una versión pública, pues el conocer la constitución de las actuaciones de la autoridad respecto a las detenciones realizadas, </w:t>
      </w:r>
      <w:r w:rsidR="00175A20">
        <w:rPr>
          <w:rFonts w:ascii="Palatino Linotype" w:eastAsia="Arial" w:hAnsi="Palatino Linotype" w:cs="Arial"/>
          <w:bCs/>
          <w:color w:val="000000" w:themeColor="text1"/>
          <w:sz w:val="24"/>
          <w:szCs w:val="24"/>
          <w:bdr w:val="nil"/>
          <w:lang w:eastAsia="es-MX"/>
        </w:rPr>
        <w:t>permitirá determinar</w:t>
      </w:r>
      <w:r>
        <w:rPr>
          <w:rFonts w:ascii="Palatino Linotype" w:eastAsia="Arial" w:hAnsi="Palatino Linotype" w:cs="Arial"/>
          <w:bCs/>
          <w:color w:val="000000" w:themeColor="text1"/>
          <w:sz w:val="24"/>
          <w:szCs w:val="24"/>
          <w:bdr w:val="nil"/>
          <w:lang w:eastAsia="es-MX"/>
        </w:rPr>
        <w:t xml:space="preserve"> si las mismas han sido apegadas a estricto derecho </w:t>
      </w:r>
      <w:r w:rsidR="00175A20">
        <w:rPr>
          <w:rFonts w:ascii="Palatino Linotype" w:eastAsia="Arial" w:hAnsi="Palatino Linotype" w:cs="Arial"/>
          <w:bCs/>
          <w:color w:val="000000" w:themeColor="text1"/>
          <w:sz w:val="24"/>
          <w:szCs w:val="24"/>
          <w:bdr w:val="nil"/>
          <w:lang w:eastAsia="es-MX"/>
        </w:rPr>
        <w:t xml:space="preserve">y si se ha llevado el proceso debidamente o en su caso si las detenciones han sido de manera arbitraría e ilegal. </w:t>
      </w:r>
    </w:p>
    <w:p w:rsidR="00175A20" w:rsidRDefault="00175A20" w:rsidP="00175A20">
      <w:pPr>
        <w:pStyle w:val="Prrafodelista"/>
        <w:rPr>
          <w:rFonts w:ascii="Palatino Linotype" w:eastAsia="Arial" w:hAnsi="Palatino Linotype" w:cs="Arial"/>
          <w:b/>
          <w:color w:val="000000" w:themeColor="text1"/>
          <w:sz w:val="24"/>
          <w:szCs w:val="24"/>
          <w:bdr w:val="nil"/>
          <w:lang w:eastAsia="es-MX"/>
        </w:rPr>
      </w:pPr>
    </w:p>
    <w:p w:rsidR="00175A20" w:rsidRPr="00175A20" w:rsidRDefault="00175A20" w:rsidP="00B1189D">
      <w:pPr>
        <w:numPr>
          <w:ilvl w:val="0"/>
          <w:numId w:val="1"/>
        </w:numPr>
        <w:pBdr>
          <w:top w:val="nil"/>
          <w:left w:val="nil"/>
          <w:bottom w:val="nil"/>
          <w:right w:val="nil"/>
          <w:between w:val="nil"/>
          <w:bar w:val="nil"/>
        </w:pBdr>
        <w:spacing w:after="0" w:line="360" w:lineRule="auto"/>
        <w:ind w:left="0" w:firstLine="0"/>
        <w:contextualSpacing/>
        <w:jc w:val="both"/>
        <w:rPr>
          <w:rFonts w:ascii="Palatino Linotype" w:eastAsia="Arial" w:hAnsi="Palatino Linotype" w:cs="Arial"/>
          <w:b/>
          <w:color w:val="000000" w:themeColor="text1"/>
          <w:sz w:val="24"/>
          <w:szCs w:val="24"/>
          <w:bdr w:val="nil"/>
          <w:lang w:eastAsia="es-MX"/>
        </w:rPr>
      </w:pPr>
      <w:r>
        <w:rPr>
          <w:rFonts w:ascii="Palatino Linotype" w:eastAsia="Arial" w:hAnsi="Palatino Linotype" w:cs="Arial"/>
          <w:bCs/>
          <w:color w:val="000000" w:themeColor="text1"/>
          <w:sz w:val="24"/>
          <w:szCs w:val="24"/>
          <w:bdr w:val="nil"/>
          <w:lang w:eastAsia="es-MX"/>
        </w:rPr>
        <w:t xml:space="preserve">Ante ello, la Ley de Transparencia y Acceso a la Información Pública en su artículo 5 señala que no podrá clasificarse como reservada aquella información que esté relacionada con violaciones graves a derechos humanos o delitos de lesa humanidad, de conformidad con el derecho nacional o los tratados internacionales de los que el Estado mexicano sea parte […] </w:t>
      </w:r>
    </w:p>
    <w:p w:rsidR="00175A20" w:rsidRDefault="00175A20" w:rsidP="00175A20">
      <w:pPr>
        <w:pStyle w:val="Prrafodelista"/>
        <w:rPr>
          <w:rFonts w:ascii="Palatino Linotype" w:eastAsia="Arial" w:hAnsi="Palatino Linotype" w:cs="Arial"/>
          <w:b/>
          <w:color w:val="000000" w:themeColor="text1"/>
          <w:sz w:val="24"/>
          <w:szCs w:val="24"/>
          <w:bdr w:val="nil"/>
          <w:lang w:eastAsia="es-MX"/>
        </w:rPr>
      </w:pPr>
    </w:p>
    <w:p w:rsidR="00175A20" w:rsidRPr="00175A20" w:rsidRDefault="00175A20" w:rsidP="00B1189D">
      <w:pPr>
        <w:numPr>
          <w:ilvl w:val="0"/>
          <w:numId w:val="1"/>
        </w:numPr>
        <w:pBdr>
          <w:top w:val="nil"/>
          <w:left w:val="nil"/>
          <w:bottom w:val="nil"/>
          <w:right w:val="nil"/>
          <w:between w:val="nil"/>
          <w:bar w:val="nil"/>
        </w:pBdr>
        <w:spacing w:after="0" w:line="360" w:lineRule="auto"/>
        <w:ind w:left="0" w:firstLine="0"/>
        <w:contextualSpacing/>
        <w:jc w:val="both"/>
        <w:rPr>
          <w:rFonts w:ascii="Palatino Linotype" w:eastAsia="Arial" w:hAnsi="Palatino Linotype" w:cs="Arial"/>
          <w:b/>
          <w:color w:val="000000" w:themeColor="text1"/>
          <w:sz w:val="24"/>
          <w:szCs w:val="24"/>
          <w:bdr w:val="nil"/>
          <w:lang w:eastAsia="es-MX"/>
        </w:rPr>
      </w:pPr>
      <w:r>
        <w:rPr>
          <w:rFonts w:ascii="Palatino Linotype" w:eastAsia="Arial" w:hAnsi="Palatino Linotype" w:cs="Arial"/>
          <w:bCs/>
          <w:color w:val="000000" w:themeColor="text1"/>
          <w:sz w:val="24"/>
          <w:szCs w:val="24"/>
          <w:bdr w:val="nil"/>
          <w:lang w:eastAsia="es-MX"/>
        </w:rPr>
        <w:t xml:space="preserve">Del mismo modo el artículo 142 del dispositivo legal citado, establece que; </w:t>
      </w:r>
    </w:p>
    <w:p w:rsidR="00175A20" w:rsidRDefault="00175A20" w:rsidP="00175A20">
      <w:pPr>
        <w:pStyle w:val="Prrafodelista"/>
        <w:rPr>
          <w:rFonts w:ascii="Palatino Linotype" w:eastAsia="Arial" w:hAnsi="Palatino Linotype" w:cs="Arial"/>
          <w:b/>
          <w:color w:val="000000" w:themeColor="text1"/>
          <w:sz w:val="24"/>
          <w:szCs w:val="24"/>
          <w:bdr w:val="nil"/>
          <w:lang w:eastAsia="es-MX"/>
        </w:rPr>
      </w:pPr>
    </w:p>
    <w:p w:rsidR="00175A20" w:rsidRPr="00436351" w:rsidRDefault="00175A20" w:rsidP="00436351">
      <w:pPr>
        <w:pBdr>
          <w:top w:val="nil"/>
          <w:left w:val="nil"/>
          <w:bottom w:val="nil"/>
          <w:right w:val="nil"/>
          <w:between w:val="nil"/>
          <w:bar w:val="nil"/>
        </w:pBdr>
        <w:spacing w:after="0" w:line="360" w:lineRule="auto"/>
        <w:ind w:left="567" w:right="616"/>
        <w:contextualSpacing/>
        <w:jc w:val="both"/>
        <w:rPr>
          <w:rFonts w:ascii="Palatino Linotype" w:hAnsi="Palatino Linotype"/>
          <w:sz w:val="24"/>
          <w:szCs w:val="24"/>
        </w:rPr>
      </w:pPr>
      <w:r w:rsidRPr="00436351">
        <w:rPr>
          <w:rFonts w:ascii="Palatino Linotype" w:hAnsi="Palatino Linotype"/>
          <w:sz w:val="24"/>
          <w:szCs w:val="24"/>
        </w:rPr>
        <w:t xml:space="preserve">Artículo 142. Bajo ninguna circunstancia podrá invocarse el carácter de reservado cuando: </w:t>
      </w:r>
    </w:p>
    <w:p w:rsidR="00175A20" w:rsidRPr="00436351" w:rsidRDefault="00175A20" w:rsidP="00436351">
      <w:pPr>
        <w:pBdr>
          <w:top w:val="nil"/>
          <w:left w:val="nil"/>
          <w:bottom w:val="nil"/>
          <w:right w:val="nil"/>
          <w:between w:val="nil"/>
          <w:bar w:val="nil"/>
        </w:pBdr>
        <w:spacing w:after="0" w:line="360" w:lineRule="auto"/>
        <w:ind w:left="567" w:right="616"/>
        <w:contextualSpacing/>
        <w:jc w:val="both"/>
        <w:rPr>
          <w:rFonts w:ascii="Palatino Linotype" w:hAnsi="Palatino Linotype"/>
          <w:sz w:val="24"/>
          <w:szCs w:val="24"/>
        </w:rPr>
      </w:pPr>
    </w:p>
    <w:p w:rsidR="00175A20" w:rsidRPr="00436351" w:rsidRDefault="00175A20" w:rsidP="00436351">
      <w:pPr>
        <w:pBdr>
          <w:top w:val="nil"/>
          <w:left w:val="nil"/>
          <w:bottom w:val="nil"/>
          <w:right w:val="nil"/>
          <w:between w:val="nil"/>
          <w:bar w:val="nil"/>
        </w:pBdr>
        <w:spacing w:after="0" w:line="360" w:lineRule="auto"/>
        <w:ind w:left="567" w:right="616"/>
        <w:jc w:val="both"/>
        <w:rPr>
          <w:rFonts w:ascii="Palatino Linotype" w:hAnsi="Palatino Linotype"/>
          <w:sz w:val="24"/>
          <w:szCs w:val="24"/>
        </w:rPr>
      </w:pPr>
      <w:r w:rsidRPr="00436351">
        <w:rPr>
          <w:rFonts w:ascii="Palatino Linotype" w:hAnsi="Palatino Linotype"/>
          <w:sz w:val="24"/>
          <w:szCs w:val="24"/>
        </w:rPr>
        <w:t xml:space="preserve">I. Se trate de violaciones graves de derechos humanos, calificada así por autoridad competente; </w:t>
      </w:r>
    </w:p>
    <w:p w:rsidR="00175A20" w:rsidRPr="00436351" w:rsidRDefault="00175A20" w:rsidP="00436351">
      <w:pPr>
        <w:spacing w:line="360" w:lineRule="auto"/>
        <w:rPr>
          <w:sz w:val="24"/>
          <w:szCs w:val="24"/>
        </w:rPr>
      </w:pPr>
    </w:p>
    <w:p w:rsidR="00175A20" w:rsidRPr="00436351" w:rsidRDefault="00175A20" w:rsidP="00436351">
      <w:pPr>
        <w:spacing w:line="360" w:lineRule="auto"/>
        <w:ind w:left="567" w:right="616"/>
        <w:jc w:val="both"/>
        <w:rPr>
          <w:rFonts w:ascii="Palatino Linotype" w:hAnsi="Palatino Linotype"/>
          <w:sz w:val="24"/>
          <w:szCs w:val="24"/>
        </w:rPr>
      </w:pPr>
      <w:r w:rsidRPr="00436351">
        <w:rPr>
          <w:rFonts w:ascii="Palatino Linotype" w:hAnsi="Palatino Linotype"/>
          <w:sz w:val="24"/>
          <w:szCs w:val="24"/>
        </w:rPr>
        <w:t xml:space="preserve">II. Se trate de la investigación de posibles violaciones graves de derechos humanos aun cuando no exista pronunciamiento previo de autoridad competente, cuando se determine, a partir de criterios cuantitativos y cualitativos la trascendencia social de las violaciones; </w:t>
      </w:r>
    </w:p>
    <w:p w:rsidR="00175A20" w:rsidRPr="00436351" w:rsidRDefault="00175A20" w:rsidP="00436351">
      <w:pPr>
        <w:spacing w:line="360" w:lineRule="auto"/>
        <w:ind w:left="567" w:right="616"/>
        <w:jc w:val="both"/>
        <w:rPr>
          <w:rFonts w:ascii="Palatino Linotype" w:hAnsi="Palatino Linotype"/>
          <w:sz w:val="24"/>
          <w:szCs w:val="24"/>
        </w:rPr>
      </w:pPr>
    </w:p>
    <w:p w:rsidR="00436351" w:rsidRDefault="00175A20" w:rsidP="00436351">
      <w:pPr>
        <w:spacing w:line="360" w:lineRule="auto"/>
        <w:ind w:left="567" w:right="616"/>
        <w:jc w:val="both"/>
        <w:rPr>
          <w:rFonts w:ascii="Palatino Linotype" w:hAnsi="Palatino Linotype"/>
          <w:sz w:val="24"/>
          <w:szCs w:val="24"/>
        </w:rPr>
      </w:pPr>
      <w:r w:rsidRPr="00436351">
        <w:rPr>
          <w:rFonts w:ascii="Palatino Linotype" w:hAnsi="Palatino Linotype"/>
          <w:sz w:val="24"/>
          <w:szCs w:val="24"/>
        </w:rPr>
        <w:t xml:space="preserve">III. Se trate de delitos de lesa humanidad conforme a los tratados ratificados por el Senado de la República, las resoluciones emitidas por organismos internacionales cuya competencia sea reconocida por el Estado Mexicano, así como en las disposiciones jurídicas aplicables; y </w:t>
      </w:r>
    </w:p>
    <w:p w:rsidR="00436351" w:rsidRPr="00436351" w:rsidRDefault="00436351" w:rsidP="00436351">
      <w:pPr>
        <w:spacing w:line="360" w:lineRule="auto"/>
        <w:ind w:left="567" w:right="616"/>
        <w:jc w:val="both"/>
        <w:rPr>
          <w:rFonts w:ascii="Palatino Linotype" w:hAnsi="Palatino Linotype"/>
          <w:sz w:val="24"/>
          <w:szCs w:val="24"/>
        </w:rPr>
      </w:pPr>
    </w:p>
    <w:p w:rsidR="00175A20" w:rsidRPr="00436351" w:rsidRDefault="00175A20" w:rsidP="00436351">
      <w:pPr>
        <w:spacing w:line="360" w:lineRule="auto"/>
        <w:ind w:left="567" w:right="616"/>
        <w:jc w:val="both"/>
        <w:rPr>
          <w:rFonts w:ascii="Palatino Linotype" w:eastAsia="Arial" w:hAnsi="Palatino Linotype" w:cs="Arial"/>
          <w:b/>
          <w:color w:val="000000" w:themeColor="text1"/>
          <w:sz w:val="28"/>
          <w:szCs w:val="28"/>
          <w:bdr w:val="nil"/>
          <w:lang w:eastAsia="es-MX"/>
        </w:rPr>
      </w:pPr>
      <w:r w:rsidRPr="00436351">
        <w:rPr>
          <w:rFonts w:ascii="Palatino Linotype" w:hAnsi="Palatino Linotype"/>
          <w:sz w:val="24"/>
          <w:szCs w:val="24"/>
        </w:rPr>
        <w:t>IV. Se trate de información relacionada con actos de corrupción de conformidad con las disposiciones jurídicas aplicables.</w:t>
      </w:r>
    </w:p>
    <w:p w:rsidR="0002535E" w:rsidRPr="00175A20" w:rsidRDefault="0002535E" w:rsidP="00175A20">
      <w:pPr>
        <w:rPr>
          <w:rFonts w:ascii="Palatino Linotype" w:eastAsia="Arial" w:hAnsi="Palatino Linotype" w:cs="Arial"/>
          <w:b/>
          <w:color w:val="000000" w:themeColor="text1"/>
          <w:sz w:val="24"/>
          <w:szCs w:val="24"/>
          <w:bdr w:val="nil"/>
          <w:lang w:eastAsia="es-MX"/>
        </w:rPr>
      </w:pPr>
    </w:p>
    <w:p w:rsidR="00175A20" w:rsidRPr="00175A20" w:rsidRDefault="00175A20" w:rsidP="00175A20">
      <w:pPr>
        <w:numPr>
          <w:ilvl w:val="0"/>
          <w:numId w:val="1"/>
        </w:numPr>
        <w:pBdr>
          <w:top w:val="nil"/>
          <w:left w:val="nil"/>
          <w:bottom w:val="nil"/>
          <w:right w:val="nil"/>
          <w:between w:val="nil"/>
          <w:bar w:val="nil"/>
        </w:pBdr>
        <w:spacing w:after="0" w:line="360" w:lineRule="auto"/>
        <w:ind w:left="0" w:firstLine="0"/>
        <w:contextualSpacing/>
        <w:jc w:val="both"/>
        <w:rPr>
          <w:rFonts w:ascii="Palatino Linotype" w:eastAsia="Arial" w:hAnsi="Palatino Linotype" w:cs="Arial"/>
          <w:b/>
          <w:color w:val="000000" w:themeColor="text1"/>
          <w:sz w:val="24"/>
          <w:szCs w:val="24"/>
          <w:bdr w:val="nil"/>
          <w:lang w:eastAsia="es-MX"/>
        </w:rPr>
      </w:pPr>
      <w:r>
        <w:rPr>
          <w:rFonts w:ascii="Palatino Linotype" w:eastAsia="Arial" w:hAnsi="Palatino Linotype" w:cs="Arial"/>
          <w:bCs/>
          <w:color w:val="000000" w:themeColor="text1"/>
          <w:sz w:val="24"/>
          <w:szCs w:val="24"/>
          <w:bdr w:val="nil"/>
          <w:lang w:eastAsia="es-MX"/>
        </w:rPr>
        <w:t xml:space="preserve">De tal forma que suponiendo sin conceder que </w:t>
      </w:r>
      <w:r w:rsidR="00436351">
        <w:rPr>
          <w:rFonts w:ascii="Palatino Linotype" w:eastAsia="Arial" w:hAnsi="Palatino Linotype" w:cs="Arial"/>
          <w:bCs/>
          <w:color w:val="000000" w:themeColor="text1"/>
          <w:sz w:val="24"/>
          <w:szCs w:val="24"/>
          <w:bdr w:val="nil"/>
          <w:lang w:eastAsia="es-MX"/>
        </w:rPr>
        <w:t xml:space="preserve">la información solicitada haya sido apegada a estricto derecho, debe entregarse a través del medio menos restringido, el cual es la elaboración de una versión pública, por el contrario que esta contenga animalias en su contenido, deberá ser de naturaleza pública, en términos de los artículos aplicables. </w:t>
      </w:r>
    </w:p>
    <w:p w:rsidR="003603BF" w:rsidRDefault="003603BF" w:rsidP="0034598D">
      <w:pPr>
        <w:pBdr>
          <w:top w:val="nil"/>
          <w:left w:val="nil"/>
          <w:bottom w:val="nil"/>
          <w:right w:val="nil"/>
          <w:between w:val="nil"/>
          <w:bar w:val="nil"/>
        </w:pBdr>
        <w:spacing w:after="0" w:line="360" w:lineRule="auto"/>
        <w:rPr>
          <w:rFonts w:ascii="Palatino Linotype" w:eastAsia="Arial" w:hAnsi="Palatino Linotype" w:cs="Arial"/>
          <w:b/>
          <w:color w:val="000000" w:themeColor="text1"/>
          <w:sz w:val="24"/>
          <w:szCs w:val="24"/>
          <w:bdr w:val="nil"/>
          <w:lang w:eastAsia="es-MX"/>
        </w:rPr>
      </w:pPr>
    </w:p>
    <w:p w:rsidR="0091171B" w:rsidRDefault="0091171B" w:rsidP="0034598D">
      <w:pPr>
        <w:pBdr>
          <w:top w:val="nil"/>
          <w:left w:val="nil"/>
          <w:bottom w:val="nil"/>
          <w:right w:val="nil"/>
          <w:between w:val="nil"/>
          <w:bar w:val="nil"/>
        </w:pBdr>
        <w:spacing w:after="0" w:line="360" w:lineRule="auto"/>
        <w:rPr>
          <w:rFonts w:ascii="Palatino Linotype" w:eastAsia="Arial" w:hAnsi="Palatino Linotype" w:cs="Arial"/>
          <w:b/>
          <w:color w:val="000000" w:themeColor="text1"/>
          <w:sz w:val="24"/>
          <w:szCs w:val="24"/>
          <w:bdr w:val="nil"/>
          <w:lang w:eastAsia="es-MX"/>
        </w:rPr>
      </w:pPr>
    </w:p>
    <w:p w:rsidR="00436351" w:rsidRPr="002A43BC" w:rsidRDefault="00436351" w:rsidP="0034598D">
      <w:pPr>
        <w:pBdr>
          <w:top w:val="nil"/>
          <w:left w:val="nil"/>
          <w:bottom w:val="nil"/>
          <w:right w:val="nil"/>
          <w:between w:val="nil"/>
          <w:bar w:val="nil"/>
        </w:pBdr>
        <w:spacing w:after="0" w:line="360" w:lineRule="auto"/>
        <w:rPr>
          <w:rFonts w:ascii="Palatino Linotype" w:eastAsia="Arial" w:hAnsi="Palatino Linotype" w:cs="Arial"/>
          <w:b/>
          <w:color w:val="000000" w:themeColor="text1"/>
          <w:sz w:val="24"/>
          <w:szCs w:val="24"/>
          <w:bdr w:val="nil"/>
          <w:lang w:eastAsia="es-MX"/>
        </w:rPr>
      </w:pPr>
    </w:p>
    <w:p w:rsidR="002C0425" w:rsidRPr="002A43BC" w:rsidRDefault="002C0425" w:rsidP="0034598D">
      <w:pPr>
        <w:pBdr>
          <w:top w:val="nil"/>
          <w:left w:val="nil"/>
          <w:bottom w:val="nil"/>
          <w:right w:val="nil"/>
          <w:between w:val="nil"/>
          <w:bar w:val="nil"/>
        </w:pBdr>
        <w:spacing w:after="0" w:line="360" w:lineRule="auto"/>
        <w:jc w:val="center"/>
        <w:rPr>
          <w:rFonts w:ascii="Palatino Linotype" w:eastAsia="Arial" w:hAnsi="Palatino Linotype" w:cs="Arial"/>
          <w:b/>
          <w:color w:val="000000" w:themeColor="text1"/>
          <w:sz w:val="24"/>
          <w:szCs w:val="24"/>
          <w:bdr w:val="nil"/>
          <w:lang w:eastAsia="es-MX"/>
        </w:rPr>
      </w:pPr>
      <w:r w:rsidRPr="002A43BC">
        <w:rPr>
          <w:rFonts w:ascii="Palatino Linotype" w:eastAsia="Arial" w:hAnsi="Palatino Linotype" w:cs="Arial"/>
          <w:b/>
          <w:color w:val="000000" w:themeColor="text1"/>
          <w:sz w:val="24"/>
          <w:szCs w:val="24"/>
          <w:bdr w:val="nil"/>
          <w:lang w:eastAsia="es-MX"/>
        </w:rPr>
        <w:t>JOSÉ GUADALUPE LUNA HERNÁNDEZ</w:t>
      </w:r>
    </w:p>
    <w:p w:rsidR="002C0425" w:rsidRDefault="002C0425" w:rsidP="0034598D">
      <w:pPr>
        <w:pBdr>
          <w:top w:val="nil"/>
          <w:left w:val="nil"/>
          <w:bottom w:val="nil"/>
          <w:right w:val="nil"/>
          <w:between w:val="nil"/>
          <w:bar w:val="nil"/>
        </w:pBdr>
        <w:spacing w:after="0" w:line="360" w:lineRule="auto"/>
        <w:jc w:val="center"/>
        <w:rPr>
          <w:rFonts w:ascii="Palatino Linotype" w:eastAsia="Arial" w:hAnsi="Palatino Linotype" w:cs="Arial"/>
          <w:b/>
          <w:color w:val="000000" w:themeColor="text1"/>
          <w:sz w:val="24"/>
          <w:szCs w:val="24"/>
          <w:bdr w:val="nil"/>
          <w:lang w:eastAsia="es-MX"/>
        </w:rPr>
      </w:pPr>
      <w:r w:rsidRPr="002A43BC">
        <w:rPr>
          <w:rFonts w:ascii="Palatino Linotype" w:eastAsia="Arial" w:hAnsi="Palatino Linotype" w:cs="Arial"/>
          <w:b/>
          <w:color w:val="000000" w:themeColor="text1"/>
          <w:sz w:val="24"/>
          <w:szCs w:val="24"/>
          <w:bdr w:val="nil"/>
          <w:lang w:eastAsia="es-MX"/>
        </w:rPr>
        <w:t>COMISIONADO</w:t>
      </w:r>
    </w:p>
    <w:p w:rsidR="002C0425" w:rsidRDefault="002C0425" w:rsidP="0034598D">
      <w:pPr>
        <w:pBdr>
          <w:top w:val="nil"/>
          <w:left w:val="nil"/>
          <w:bottom w:val="nil"/>
          <w:right w:val="nil"/>
          <w:between w:val="nil"/>
          <w:bar w:val="nil"/>
        </w:pBdr>
        <w:spacing w:after="0" w:line="360" w:lineRule="auto"/>
        <w:jc w:val="center"/>
        <w:rPr>
          <w:rFonts w:ascii="Palatino Linotype" w:eastAsia="Arial" w:hAnsi="Palatino Linotype" w:cs="Arial"/>
          <w:b/>
          <w:color w:val="000000" w:themeColor="text1"/>
          <w:sz w:val="24"/>
          <w:szCs w:val="24"/>
          <w:bdr w:val="nil"/>
          <w:lang w:eastAsia="es-MX"/>
        </w:rPr>
      </w:pPr>
    </w:p>
    <w:p w:rsidR="00436351" w:rsidRPr="002A43BC" w:rsidRDefault="00436351" w:rsidP="0034598D">
      <w:pPr>
        <w:pBdr>
          <w:top w:val="nil"/>
          <w:left w:val="nil"/>
          <w:bottom w:val="nil"/>
          <w:right w:val="nil"/>
          <w:between w:val="nil"/>
          <w:bar w:val="nil"/>
        </w:pBdr>
        <w:spacing w:after="0" w:line="360" w:lineRule="auto"/>
        <w:jc w:val="center"/>
        <w:rPr>
          <w:rFonts w:ascii="Palatino Linotype" w:eastAsia="Arial" w:hAnsi="Palatino Linotype" w:cs="Arial"/>
          <w:b/>
          <w:color w:val="000000" w:themeColor="text1"/>
          <w:sz w:val="24"/>
          <w:szCs w:val="24"/>
          <w:bdr w:val="nil"/>
          <w:lang w:eastAsia="es-MX"/>
        </w:rPr>
      </w:pPr>
    </w:p>
    <w:p w:rsidR="00122EB1" w:rsidRPr="0091171B" w:rsidRDefault="0091171B" w:rsidP="0091171B">
      <w:pPr>
        <w:pBdr>
          <w:top w:val="nil"/>
          <w:left w:val="nil"/>
          <w:bottom w:val="nil"/>
          <w:right w:val="nil"/>
          <w:between w:val="nil"/>
          <w:bar w:val="nil"/>
        </w:pBdr>
        <w:spacing w:after="0" w:line="360" w:lineRule="auto"/>
        <w:jc w:val="right"/>
        <w:rPr>
          <w:rFonts w:ascii="Palatino Linotype" w:eastAsia="Arial" w:hAnsi="Palatino Linotype" w:cs="Arial"/>
          <w:b/>
          <w:color w:val="000000" w:themeColor="text1"/>
          <w:sz w:val="24"/>
          <w:szCs w:val="24"/>
          <w:bdr w:val="nil"/>
          <w:lang w:eastAsia="es-MX"/>
        </w:rPr>
      </w:pPr>
      <w:bookmarkStart w:id="2" w:name="_GoBack"/>
      <w:bookmarkEnd w:id="2"/>
      <w:r w:rsidRPr="0091171B">
        <w:rPr>
          <w:rFonts w:ascii="Palatino Linotype" w:eastAsia="Arial" w:hAnsi="Palatino Linotype" w:cs="Arial"/>
          <w:b/>
          <w:color w:val="000000" w:themeColor="text1"/>
          <w:sz w:val="24"/>
          <w:szCs w:val="24"/>
          <w:bdr w:val="nil"/>
          <w:lang w:eastAsia="es-MX"/>
        </w:rPr>
        <w:t>JVTC/JGLH</w:t>
      </w:r>
    </w:p>
    <w:sectPr w:rsidR="00122EB1" w:rsidRPr="0091171B" w:rsidSect="002A43BC">
      <w:headerReference w:type="even" r:id="rId8"/>
      <w:headerReference w:type="default" r:id="rId9"/>
      <w:footerReference w:type="even" r:id="rId10"/>
      <w:footerReference w:type="default" r:id="rId11"/>
      <w:headerReference w:type="first" r:id="rId12"/>
      <w:footerReference w:type="first" r:id="rId13"/>
      <w:pgSz w:w="12240" w:h="15840" w:code="1"/>
      <w:pgMar w:top="2268" w:right="1701" w:bottom="226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24B" w:rsidRDefault="00BA024B" w:rsidP="002C0425">
      <w:pPr>
        <w:spacing w:after="0" w:line="240" w:lineRule="auto"/>
      </w:pPr>
      <w:r>
        <w:separator/>
      </w:r>
    </w:p>
  </w:endnote>
  <w:endnote w:type="continuationSeparator" w:id="0">
    <w:p w:rsidR="00BA024B" w:rsidRDefault="00BA024B" w:rsidP="002C0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268" w:rsidRDefault="0046526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3585527"/>
      <w:docPartObj>
        <w:docPartGallery w:val="Page Numbers (Bottom of Page)"/>
        <w:docPartUnique/>
      </w:docPartObj>
    </w:sdtPr>
    <w:sdtEndPr/>
    <w:sdtContent>
      <w:sdt>
        <w:sdtPr>
          <w:id w:val="-1769616900"/>
          <w:docPartObj>
            <w:docPartGallery w:val="Page Numbers (Top of Page)"/>
            <w:docPartUnique/>
          </w:docPartObj>
        </w:sdtPr>
        <w:sdtEndPr/>
        <w:sdtContent>
          <w:p w:rsidR="00465268" w:rsidRDefault="00465268">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E30841">
              <w:rPr>
                <w:rFonts w:ascii="Palatino Linotype" w:hAnsi="Palatino Linotype"/>
                <w:b/>
                <w:bCs/>
                <w:noProof/>
                <w:sz w:val="20"/>
                <w:szCs w:val="20"/>
              </w:rPr>
              <w:t>7</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E30841">
              <w:rPr>
                <w:rFonts w:ascii="Palatino Linotype" w:hAnsi="Palatino Linotype"/>
                <w:b/>
                <w:bCs/>
                <w:noProof/>
                <w:sz w:val="20"/>
                <w:szCs w:val="20"/>
              </w:rPr>
              <w:t>7</w:t>
            </w:r>
            <w:r w:rsidRPr="0052203D">
              <w:rPr>
                <w:rFonts w:ascii="Palatino Linotype" w:hAnsi="Palatino Linotype"/>
                <w:b/>
                <w:bCs/>
                <w:sz w:val="20"/>
                <w:szCs w:val="20"/>
              </w:rPr>
              <w:fldChar w:fldCharType="end"/>
            </w:r>
          </w:p>
        </w:sdtContent>
      </w:sdt>
    </w:sdtContent>
  </w:sdt>
  <w:p w:rsidR="00465268" w:rsidRDefault="0046526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268" w:rsidRDefault="0046526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24B" w:rsidRDefault="00BA024B" w:rsidP="002C0425">
      <w:pPr>
        <w:spacing w:after="0" w:line="240" w:lineRule="auto"/>
      </w:pPr>
      <w:r>
        <w:separator/>
      </w:r>
    </w:p>
  </w:footnote>
  <w:footnote w:type="continuationSeparator" w:id="0">
    <w:p w:rsidR="00BA024B" w:rsidRDefault="00BA024B" w:rsidP="002C04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268" w:rsidRDefault="00E30841">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4" o:spid="_x0000_s2050" type="#_x0000_t136" style="position:absolute;margin-left:0;margin-top:0;width:538.05pt;height:84.95pt;rotation:315;z-index:-251656192;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268" w:rsidRDefault="00E30841">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5" o:spid="_x0000_s2051" type="#_x0000_t136" style="position:absolute;margin-left:0;margin-top:0;width:538.05pt;height:84.9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rsidR="00465268" w:rsidRDefault="0046526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268" w:rsidRDefault="00E30841">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3" o:spid="_x0000_s2049" type="#_x0000_t136" style="position:absolute;margin-left:0;margin-top:0;width:538.05pt;height:84.95pt;rotation:315;z-index:-251657216;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65DFB"/>
    <w:multiLevelType w:val="hybridMultilevel"/>
    <w:tmpl w:val="5C2EE6B6"/>
    <w:lvl w:ilvl="0" w:tplc="679EA47A">
      <w:start w:val="1"/>
      <w:numFmt w:val="lowerLetter"/>
      <w:lvlText w:val="%1)"/>
      <w:lvlJc w:val="left"/>
      <w:pPr>
        <w:ind w:left="927" w:hanging="360"/>
      </w:pPr>
      <w:rPr>
        <w:rFonts w:cs="Times New Roman"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01956DB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39E521D"/>
    <w:multiLevelType w:val="hybridMultilevel"/>
    <w:tmpl w:val="079AF5C8"/>
    <w:lvl w:ilvl="0" w:tplc="1AE0895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95E2F0D"/>
    <w:multiLevelType w:val="hybridMultilevel"/>
    <w:tmpl w:val="F214B2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4317490"/>
    <w:multiLevelType w:val="hybridMultilevel"/>
    <w:tmpl w:val="FAD0B652"/>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C5F4576"/>
    <w:multiLevelType w:val="hybridMultilevel"/>
    <w:tmpl w:val="45146B3E"/>
    <w:lvl w:ilvl="0" w:tplc="B268E1D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404D01F0"/>
    <w:multiLevelType w:val="hybridMultilevel"/>
    <w:tmpl w:val="20A010AE"/>
    <w:lvl w:ilvl="0" w:tplc="47F8579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8">
    <w:nsid w:val="577202FA"/>
    <w:multiLevelType w:val="hybridMultilevel"/>
    <w:tmpl w:val="5DF84F14"/>
    <w:lvl w:ilvl="0" w:tplc="314C95F2">
      <w:start w:val="1"/>
      <w:numFmt w:val="decimal"/>
      <w:lvlText w:val="%1."/>
      <w:lvlJc w:val="left"/>
      <w:pPr>
        <w:ind w:left="36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ECF6A33"/>
    <w:multiLevelType w:val="multilevel"/>
    <w:tmpl w:val="EAA44480"/>
    <w:lvl w:ilvl="0">
      <w:start w:val="5"/>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0"/>
  </w:num>
  <w:num w:numId="3">
    <w:abstractNumId w:val="0"/>
  </w:num>
  <w:num w:numId="4">
    <w:abstractNumId w:val="3"/>
  </w:num>
  <w:num w:numId="5">
    <w:abstractNumId w:val="9"/>
  </w:num>
  <w:num w:numId="6">
    <w:abstractNumId w:val="7"/>
  </w:num>
  <w:num w:numId="7">
    <w:abstractNumId w:val="6"/>
  </w:num>
  <w:num w:numId="8">
    <w:abstractNumId w:val="1"/>
  </w:num>
  <w:num w:numId="9">
    <w:abstractNumId w:val="4"/>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425"/>
    <w:rsid w:val="000150BA"/>
    <w:rsid w:val="0002535E"/>
    <w:rsid w:val="00032496"/>
    <w:rsid w:val="00036132"/>
    <w:rsid w:val="0007183B"/>
    <w:rsid w:val="00091FA7"/>
    <w:rsid w:val="000A0410"/>
    <w:rsid w:val="000A29FD"/>
    <w:rsid w:val="000C3F66"/>
    <w:rsid w:val="000D2CB7"/>
    <w:rsid w:val="000D3249"/>
    <w:rsid w:val="00100221"/>
    <w:rsid w:val="001132CB"/>
    <w:rsid w:val="00117A12"/>
    <w:rsid w:val="00122EB1"/>
    <w:rsid w:val="00141B6E"/>
    <w:rsid w:val="00142003"/>
    <w:rsid w:val="00147149"/>
    <w:rsid w:val="00175A20"/>
    <w:rsid w:val="001D0C84"/>
    <w:rsid w:val="001E1ABF"/>
    <w:rsid w:val="00201266"/>
    <w:rsid w:val="00207CD1"/>
    <w:rsid w:val="00215DCF"/>
    <w:rsid w:val="00230453"/>
    <w:rsid w:val="0023130B"/>
    <w:rsid w:val="0023170E"/>
    <w:rsid w:val="00253D8C"/>
    <w:rsid w:val="00262FC1"/>
    <w:rsid w:val="0026420F"/>
    <w:rsid w:val="00265760"/>
    <w:rsid w:val="00277FA3"/>
    <w:rsid w:val="0029152A"/>
    <w:rsid w:val="002A30A3"/>
    <w:rsid w:val="002A43BC"/>
    <w:rsid w:val="002B2DB8"/>
    <w:rsid w:val="002C0425"/>
    <w:rsid w:val="00311B32"/>
    <w:rsid w:val="0034598D"/>
    <w:rsid w:val="003603BF"/>
    <w:rsid w:val="0039183C"/>
    <w:rsid w:val="0039495E"/>
    <w:rsid w:val="003B34A8"/>
    <w:rsid w:val="003C6C75"/>
    <w:rsid w:val="003F100C"/>
    <w:rsid w:val="003F5F80"/>
    <w:rsid w:val="00401D61"/>
    <w:rsid w:val="00406B19"/>
    <w:rsid w:val="0042787B"/>
    <w:rsid w:val="0043259F"/>
    <w:rsid w:val="00432F50"/>
    <w:rsid w:val="00436351"/>
    <w:rsid w:val="0044193D"/>
    <w:rsid w:val="004617AB"/>
    <w:rsid w:val="00465268"/>
    <w:rsid w:val="00494A1F"/>
    <w:rsid w:val="004971E6"/>
    <w:rsid w:val="004B46C5"/>
    <w:rsid w:val="004E6086"/>
    <w:rsid w:val="004E63BF"/>
    <w:rsid w:val="004F39B9"/>
    <w:rsid w:val="004F7A40"/>
    <w:rsid w:val="005001CF"/>
    <w:rsid w:val="005002AA"/>
    <w:rsid w:val="00512D09"/>
    <w:rsid w:val="00587D1C"/>
    <w:rsid w:val="00593CC1"/>
    <w:rsid w:val="005B0502"/>
    <w:rsid w:val="005B2D39"/>
    <w:rsid w:val="005B5E54"/>
    <w:rsid w:val="005C6624"/>
    <w:rsid w:val="005C7AE6"/>
    <w:rsid w:val="0060449E"/>
    <w:rsid w:val="0061369A"/>
    <w:rsid w:val="00621A70"/>
    <w:rsid w:val="00623067"/>
    <w:rsid w:val="00623C8D"/>
    <w:rsid w:val="00624117"/>
    <w:rsid w:val="006A5D29"/>
    <w:rsid w:val="006E6998"/>
    <w:rsid w:val="006F47DC"/>
    <w:rsid w:val="00703237"/>
    <w:rsid w:val="00742484"/>
    <w:rsid w:val="00760EFD"/>
    <w:rsid w:val="007813AE"/>
    <w:rsid w:val="007846D2"/>
    <w:rsid w:val="00792890"/>
    <w:rsid w:val="007B5DDB"/>
    <w:rsid w:val="007B7418"/>
    <w:rsid w:val="007F2468"/>
    <w:rsid w:val="007F4F75"/>
    <w:rsid w:val="007F7136"/>
    <w:rsid w:val="00802AAE"/>
    <w:rsid w:val="0082021B"/>
    <w:rsid w:val="0083752B"/>
    <w:rsid w:val="008421EE"/>
    <w:rsid w:val="0087228E"/>
    <w:rsid w:val="00881525"/>
    <w:rsid w:val="00883783"/>
    <w:rsid w:val="008855B5"/>
    <w:rsid w:val="008957BF"/>
    <w:rsid w:val="00895986"/>
    <w:rsid w:val="008D0A77"/>
    <w:rsid w:val="008D7542"/>
    <w:rsid w:val="008E7F3F"/>
    <w:rsid w:val="0090379C"/>
    <w:rsid w:val="00910ECF"/>
    <w:rsid w:val="0091171B"/>
    <w:rsid w:val="0091259D"/>
    <w:rsid w:val="00930D24"/>
    <w:rsid w:val="00942EE7"/>
    <w:rsid w:val="00956804"/>
    <w:rsid w:val="00956E2E"/>
    <w:rsid w:val="00957415"/>
    <w:rsid w:val="009773F9"/>
    <w:rsid w:val="00986004"/>
    <w:rsid w:val="009B57E6"/>
    <w:rsid w:val="00A00825"/>
    <w:rsid w:val="00A045DD"/>
    <w:rsid w:val="00A3574A"/>
    <w:rsid w:val="00A472F8"/>
    <w:rsid w:val="00AD1A27"/>
    <w:rsid w:val="00AF53C4"/>
    <w:rsid w:val="00B00D57"/>
    <w:rsid w:val="00B0746B"/>
    <w:rsid w:val="00B1189D"/>
    <w:rsid w:val="00B623D1"/>
    <w:rsid w:val="00B90ADC"/>
    <w:rsid w:val="00BA024B"/>
    <w:rsid w:val="00BA2B5D"/>
    <w:rsid w:val="00BB518F"/>
    <w:rsid w:val="00BC08D2"/>
    <w:rsid w:val="00BC4265"/>
    <w:rsid w:val="00C2473C"/>
    <w:rsid w:val="00C451F4"/>
    <w:rsid w:val="00C62100"/>
    <w:rsid w:val="00C70C3A"/>
    <w:rsid w:val="00C72F11"/>
    <w:rsid w:val="00C849E8"/>
    <w:rsid w:val="00C86B5D"/>
    <w:rsid w:val="00C92C05"/>
    <w:rsid w:val="00CA6E2D"/>
    <w:rsid w:val="00CB2960"/>
    <w:rsid w:val="00CD2100"/>
    <w:rsid w:val="00D05906"/>
    <w:rsid w:val="00D12B23"/>
    <w:rsid w:val="00D2011B"/>
    <w:rsid w:val="00D97982"/>
    <w:rsid w:val="00E0147C"/>
    <w:rsid w:val="00E30841"/>
    <w:rsid w:val="00E427C6"/>
    <w:rsid w:val="00E42F7C"/>
    <w:rsid w:val="00E42F9C"/>
    <w:rsid w:val="00E579FB"/>
    <w:rsid w:val="00E65FC8"/>
    <w:rsid w:val="00ED65F6"/>
    <w:rsid w:val="00EE29A1"/>
    <w:rsid w:val="00EE639D"/>
    <w:rsid w:val="00F173E3"/>
    <w:rsid w:val="00F579CF"/>
    <w:rsid w:val="00F644D1"/>
    <w:rsid w:val="00F74857"/>
    <w:rsid w:val="00FA7EDC"/>
    <w:rsid w:val="00FB13AE"/>
    <w:rsid w:val="00FB5CBE"/>
    <w:rsid w:val="00FF02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77FA421-1A48-4403-84D1-BA7738AF5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C042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C0425"/>
    <w:rPr>
      <w:rFonts w:ascii="Times New Roman" w:eastAsia="Arial Unicode MS" w:hAnsi="Times New Roman" w:cs="Times New Roman"/>
      <w:sz w:val="20"/>
      <w:szCs w:val="20"/>
      <w:bdr w:val="ni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f,Ref,de nota al pie,註腳內容"/>
    <w:basedOn w:val="Fuentedeprrafopredeter"/>
    <w:uiPriority w:val="99"/>
    <w:unhideWhenUsed/>
    <w:rsid w:val="002C0425"/>
    <w:rPr>
      <w:vertAlign w:val="superscript"/>
    </w:rPr>
  </w:style>
  <w:style w:type="paragraph" w:styleId="Piedepgina">
    <w:name w:val="footer"/>
    <w:basedOn w:val="Normal"/>
    <w:link w:val="PiedepginaCar"/>
    <w:uiPriority w:val="99"/>
    <w:unhideWhenUsed/>
    <w:rsid w:val="002C0425"/>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2C0425"/>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2C0425"/>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2C0425"/>
    <w:rPr>
      <w:rFonts w:ascii="Times New Roman" w:eastAsia="Arial Unicode MS" w:hAnsi="Times New Roman" w:cs="Times New Roman"/>
      <w:sz w:val="24"/>
      <w:szCs w:val="24"/>
      <w:bdr w:val="nil"/>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032496"/>
    <w:pPr>
      <w:ind w:left="720"/>
      <w:contextualSpacing/>
    </w:pPr>
  </w:style>
  <w:style w:type="paragraph" w:styleId="TDC1">
    <w:name w:val="toc 1"/>
    <w:basedOn w:val="Normal"/>
    <w:next w:val="Normal"/>
    <w:autoRedefine/>
    <w:uiPriority w:val="39"/>
    <w:unhideWhenUsed/>
    <w:rsid w:val="0034598D"/>
    <w:pPr>
      <w:tabs>
        <w:tab w:val="left" w:pos="440"/>
        <w:tab w:val="right" w:leader="dot" w:pos="8828"/>
      </w:tabs>
      <w:spacing w:after="0" w:line="360" w:lineRule="auto"/>
    </w:pPr>
  </w:style>
  <w:style w:type="paragraph" w:styleId="TDC2">
    <w:name w:val="toc 2"/>
    <w:basedOn w:val="Normal"/>
    <w:next w:val="Normal"/>
    <w:autoRedefine/>
    <w:uiPriority w:val="39"/>
    <w:unhideWhenUsed/>
    <w:rsid w:val="00311B32"/>
    <w:pPr>
      <w:spacing w:after="100"/>
      <w:ind w:left="220"/>
    </w:pPr>
  </w:style>
  <w:style w:type="paragraph" w:styleId="TDC3">
    <w:name w:val="toc 3"/>
    <w:basedOn w:val="Normal"/>
    <w:next w:val="Normal"/>
    <w:autoRedefine/>
    <w:uiPriority w:val="39"/>
    <w:unhideWhenUsed/>
    <w:rsid w:val="00311B32"/>
    <w:pPr>
      <w:spacing w:after="100"/>
      <w:ind w:left="440"/>
    </w:pPr>
  </w:style>
  <w:style w:type="character" w:styleId="Hipervnculo">
    <w:name w:val="Hyperlink"/>
    <w:basedOn w:val="Fuentedeprrafopredeter"/>
    <w:uiPriority w:val="99"/>
    <w:unhideWhenUsed/>
    <w:rsid w:val="00311B32"/>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3170E"/>
  </w:style>
  <w:style w:type="paragraph" w:styleId="Sinespaciado">
    <w:name w:val="No Spacing"/>
    <w:uiPriority w:val="1"/>
    <w:qFormat/>
    <w:rsid w:val="000150BA"/>
    <w:pPr>
      <w:spacing w:after="0" w:line="240" w:lineRule="auto"/>
    </w:pPr>
  </w:style>
  <w:style w:type="paragraph" w:styleId="Textodeglobo">
    <w:name w:val="Balloon Text"/>
    <w:basedOn w:val="Normal"/>
    <w:link w:val="TextodegloboCar"/>
    <w:uiPriority w:val="99"/>
    <w:semiHidden/>
    <w:unhideWhenUsed/>
    <w:rsid w:val="000150B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50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99156-1CC7-4D26-8B74-2AFE01F03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1316</Words>
  <Characters>7239</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2019-07-02T00:24:00Z</cp:lastPrinted>
  <dcterms:created xsi:type="dcterms:W3CDTF">2019-08-27T15:23:00Z</dcterms:created>
  <dcterms:modified xsi:type="dcterms:W3CDTF">2019-08-28T00:09:00Z</dcterms:modified>
</cp:coreProperties>
</file>